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40EE" w14:textId="3F1EA98F" w:rsidR="000D2E4B" w:rsidRPr="008C56FB" w:rsidRDefault="003741BF" w:rsidP="00165B38">
      <w:pPr>
        <w:pStyle w:val="Header"/>
        <w:rPr>
          <w:rFonts w:ascii="Tahoma" w:hAnsi="Tahoma" w:cs="Tahoma"/>
        </w:rPr>
      </w:pPr>
      <w:r w:rsidRPr="008C56FB">
        <w:rPr>
          <w:rFonts w:ascii="Tahoma" w:hAnsi="Tahoma" w:cs="Tahoma"/>
          <w:b/>
          <w:u w:val="single"/>
        </w:rPr>
        <w:t>Job Title:</w:t>
      </w:r>
      <w:r w:rsidR="000C4CA7" w:rsidRPr="008C56FB">
        <w:rPr>
          <w:rFonts w:ascii="Tahoma" w:hAnsi="Tahoma" w:cs="Tahoma"/>
          <w:b/>
        </w:rPr>
        <w:t xml:space="preserve">  </w:t>
      </w:r>
      <w:r w:rsidR="00D37AC2" w:rsidRPr="00D37AC2">
        <w:rPr>
          <w:rFonts w:ascii="Tahoma" w:hAnsi="Tahoma" w:cs="Tahoma"/>
          <w:b/>
        </w:rPr>
        <w:t>Engineering Delivery Manager (Draken)</w:t>
      </w:r>
    </w:p>
    <w:tbl>
      <w:tblPr>
        <w:tblStyle w:val="TableGrid"/>
        <w:tblW w:w="0" w:type="auto"/>
        <w:tblLook w:val="04A0" w:firstRow="1" w:lastRow="0" w:firstColumn="1" w:lastColumn="0" w:noHBand="0" w:noVBand="1"/>
      </w:tblPr>
      <w:tblGrid>
        <w:gridCol w:w="9016"/>
      </w:tblGrid>
      <w:tr w:rsidR="003741BF" w:rsidRPr="008C56FB" w14:paraId="36FE9E13" w14:textId="77777777" w:rsidTr="00165B38">
        <w:tc>
          <w:tcPr>
            <w:tcW w:w="9016" w:type="dxa"/>
            <w:shd w:val="clear" w:color="auto" w:fill="A6A6A6" w:themeFill="background1" w:themeFillShade="A6"/>
          </w:tcPr>
          <w:p w14:paraId="65DBA966" w14:textId="77777777" w:rsidR="003741BF" w:rsidRPr="008C56FB" w:rsidRDefault="003741BF" w:rsidP="003741BF">
            <w:pPr>
              <w:pStyle w:val="NoSpacing"/>
              <w:rPr>
                <w:rFonts w:ascii="Tahoma" w:hAnsi="Tahoma" w:cs="Tahoma"/>
                <w:sz w:val="12"/>
              </w:rPr>
            </w:pPr>
          </w:p>
        </w:tc>
      </w:tr>
    </w:tbl>
    <w:p w14:paraId="61030795" w14:textId="77777777" w:rsidR="003741BF" w:rsidRPr="008C56FB" w:rsidRDefault="003741BF" w:rsidP="003741BF">
      <w:pPr>
        <w:pStyle w:val="NoSpacing"/>
        <w:rPr>
          <w:rFonts w:ascii="Tahoma" w:hAnsi="Tahoma" w:cs="Tahoma"/>
        </w:rPr>
      </w:pPr>
    </w:p>
    <w:tbl>
      <w:tblPr>
        <w:tblStyle w:val="TableGrid"/>
        <w:tblW w:w="0" w:type="auto"/>
        <w:tblLook w:val="04A0" w:firstRow="1" w:lastRow="0" w:firstColumn="1" w:lastColumn="0" w:noHBand="0" w:noVBand="1"/>
      </w:tblPr>
      <w:tblGrid>
        <w:gridCol w:w="9016"/>
      </w:tblGrid>
      <w:tr w:rsidR="00E4167E" w:rsidRPr="00973A69" w14:paraId="514C8717" w14:textId="77777777" w:rsidTr="00165B38">
        <w:trPr>
          <w:trHeight w:val="454"/>
        </w:trPr>
        <w:tc>
          <w:tcPr>
            <w:tcW w:w="9401" w:type="dxa"/>
            <w:shd w:val="clear" w:color="auto" w:fill="A6A6A6" w:themeFill="background1" w:themeFillShade="A6"/>
            <w:vAlign w:val="center"/>
          </w:tcPr>
          <w:p w14:paraId="4C46C04F" w14:textId="77777777" w:rsidR="00E4167E" w:rsidRPr="00973A69" w:rsidRDefault="00E4167E" w:rsidP="000A2227">
            <w:pPr>
              <w:pStyle w:val="Header"/>
              <w:rPr>
                <w:rFonts w:ascii="Tahoma" w:hAnsi="Tahoma" w:cs="Tahoma"/>
                <w:b/>
                <w:szCs w:val="28"/>
              </w:rPr>
            </w:pPr>
            <w:r w:rsidRPr="00973A69">
              <w:rPr>
                <w:rFonts w:ascii="Tahoma" w:hAnsi="Tahoma" w:cs="Tahoma"/>
                <w:b/>
                <w:szCs w:val="28"/>
              </w:rPr>
              <w:t>Role Purpose (Position Scope)</w:t>
            </w:r>
          </w:p>
        </w:tc>
      </w:tr>
      <w:tr w:rsidR="00E4167E" w:rsidRPr="00973A69" w14:paraId="5266AF3F" w14:textId="77777777" w:rsidTr="000A2227">
        <w:tc>
          <w:tcPr>
            <w:tcW w:w="9401" w:type="dxa"/>
            <w:vAlign w:val="center"/>
          </w:tcPr>
          <w:p w14:paraId="7938C5F5" w14:textId="77777777" w:rsidR="00D136B9" w:rsidRDefault="00D136B9" w:rsidP="00D136B9">
            <w:pPr>
              <w:pStyle w:val="Header"/>
              <w:rPr>
                <w:rFonts w:ascii="Tahoma" w:hAnsi="Tahoma" w:cs="Tahoma"/>
                <w:sz w:val="20"/>
                <w:szCs w:val="20"/>
              </w:rPr>
            </w:pPr>
          </w:p>
          <w:p w14:paraId="73580437" w14:textId="0416671C" w:rsidR="00E85D17" w:rsidRDefault="001E2E60" w:rsidP="001E2E60">
            <w:pPr>
              <w:rPr>
                <w:lang w:eastAsia="en-GB"/>
              </w:rPr>
            </w:pPr>
            <w:r w:rsidRPr="001E2E60">
              <w:rPr>
                <w:rFonts w:ascii="Calibri" w:hAnsi="Calibri" w:cs="Calibri"/>
                <w:color w:val="000000"/>
              </w:rPr>
              <w:t xml:space="preserve">The Engineering Delivery Manager (EDM) reports directly to the </w:t>
            </w:r>
            <w:r>
              <w:rPr>
                <w:rFonts w:ascii="Calibri" w:hAnsi="Calibri" w:cs="Calibri"/>
                <w:color w:val="000000"/>
              </w:rPr>
              <w:t xml:space="preserve">VP </w:t>
            </w:r>
            <w:r w:rsidRPr="001E2E60">
              <w:rPr>
                <w:rFonts w:ascii="Calibri" w:hAnsi="Calibri" w:cs="Calibri"/>
                <w:color w:val="000000"/>
              </w:rPr>
              <w:t>Engineering and is accountable for the execution of engineering activities across Operations and Programme. This is achieved through effective coordination within Integrated Delivery Teams and through collaboration with multidisciplinary engineering functions, including Design Office, CAMO, Manufacturing, and Part 145 MRO. The EDM serves as the principal authority on engineering decisions related to programme fleet delivery, ensuring sustainable support, maintaining fleet size, promoting reliability, and managing obsolescence from an engineering perspective.</w:t>
            </w:r>
          </w:p>
          <w:p w14:paraId="1ECF751B" w14:textId="77777777" w:rsidR="00E85D17" w:rsidRDefault="00E85D17" w:rsidP="00D37AC2">
            <w:pPr>
              <w:jc w:val="both"/>
              <w:rPr>
                <w:rFonts w:ascii="Calibri" w:eastAsia="Times New Roman" w:hAnsi="Calibri" w:cs="Calibri"/>
                <w:lang w:eastAsia="en-GB"/>
              </w:rPr>
            </w:pPr>
          </w:p>
          <w:p w14:paraId="724C17E6" w14:textId="0240B702" w:rsidR="00514931" w:rsidRDefault="00BA7738" w:rsidP="00BA7738">
            <w:pPr>
              <w:rPr>
                <w:lang w:eastAsia="en-GB"/>
              </w:rPr>
            </w:pPr>
            <w:r w:rsidRPr="00BA7738">
              <w:rPr>
                <w:rFonts w:ascii="Calibri" w:hAnsi="Calibri" w:cs="Calibri"/>
                <w:color w:val="000000"/>
              </w:rPr>
              <w:t xml:space="preserve">The EDM also provides key input for bid work and </w:t>
            </w:r>
            <w:r w:rsidR="00D87206">
              <w:rPr>
                <w:rFonts w:ascii="Calibri" w:hAnsi="Calibri" w:cs="Calibri"/>
                <w:color w:val="000000"/>
              </w:rPr>
              <w:t xml:space="preserve">development </w:t>
            </w:r>
            <w:r w:rsidRPr="00BA7738">
              <w:rPr>
                <w:rFonts w:ascii="Calibri" w:hAnsi="Calibri" w:cs="Calibri"/>
                <w:color w:val="000000"/>
              </w:rPr>
              <w:t>activities to Programme Managers</w:t>
            </w:r>
            <w:r w:rsidR="00D87206">
              <w:rPr>
                <w:rFonts w:ascii="Calibri" w:hAnsi="Calibri" w:cs="Calibri"/>
                <w:color w:val="000000"/>
              </w:rPr>
              <w:t>/</w:t>
            </w:r>
            <w:r w:rsidRPr="00BA7738">
              <w:rPr>
                <w:rFonts w:ascii="Calibri" w:hAnsi="Calibri" w:cs="Calibri"/>
                <w:color w:val="000000"/>
              </w:rPr>
              <w:t xml:space="preserve">Directors, maintaining a direct relationship with the Programme while </w:t>
            </w:r>
            <w:r w:rsidR="00960724">
              <w:rPr>
                <w:rFonts w:ascii="Calibri" w:hAnsi="Calibri" w:cs="Calibri"/>
                <w:color w:val="000000"/>
              </w:rPr>
              <w:t>being</w:t>
            </w:r>
            <w:r w:rsidRPr="00BA7738">
              <w:rPr>
                <w:rFonts w:ascii="Calibri" w:hAnsi="Calibri" w:cs="Calibri"/>
                <w:color w:val="000000"/>
              </w:rPr>
              <w:t xml:space="preserve"> internally focused.</w:t>
            </w:r>
          </w:p>
          <w:p w14:paraId="5DE37FE7" w14:textId="77777777" w:rsidR="00AA76C3" w:rsidRDefault="00AA76C3" w:rsidP="00D37AC2">
            <w:pPr>
              <w:jc w:val="both"/>
              <w:rPr>
                <w:rFonts w:ascii="Calibri" w:eastAsia="Times New Roman" w:hAnsi="Calibri" w:cs="Calibri"/>
                <w:lang w:eastAsia="en-GB"/>
              </w:rPr>
            </w:pPr>
          </w:p>
          <w:p w14:paraId="6A6CD47B" w14:textId="6F641834" w:rsidR="007846F1" w:rsidRDefault="007846F1" w:rsidP="00D37AC2">
            <w:pPr>
              <w:jc w:val="both"/>
              <w:rPr>
                <w:rFonts w:ascii="Calibri" w:eastAsia="Times New Roman" w:hAnsi="Calibri" w:cs="Calibri"/>
                <w:lang w:eastAsia="en-GB"/>
              </w:rPr>
            </w:pPr>
            <w:r>
              <w:rPr>
                <w:rFonts w:ascii="Calibri" w:eastAsia="Times New Roman" w:hAnsi="Calibri" w:cs="Calibri"/>
                <w:lang w:eastAsia="en-GB"/>
              </w:rPr>
              <w:t xml:space="preserve">The nature of the work requires an element of flexibility </w:t>
            </w:r>
            <w:r w:rsidR="005F6B58">
              <w:rPr>
                <w:rFonts w:ascii="Calibri" w:eastAsia="Times New Roman" w:hAnsi="Calibri" w:cs="Calibri"/>
                <w:lang w:eastAsia="en-GB"/>
              </w:rPr>
              <w:t xml:space="preserve">to achieve effective </w:t>
            </w:r>
            <w:r w:rsidR="00960724">
              <w:rPr>
                <w:rFonts w:ascii="Calibri" w:eastAsia="Times New Roman" w:hAnsi="Calibri" w:cs="Calibri"/>
                <w:lang w:eastAsia="en-GB"/>
              </w:rPr>
              <w:t>execution</w:t>
            </w:r>
            <w:r w:rsidR="005F6B58">
              <w:rPr>
                <w:rFonts w:ascii="Calibri" w:eastAsia="Times New Roman" w:hAnsi="Calibri" w:cs="Calibri"/>
                <w:lang w:eastAsia="en-GB"/>
              </w:rPr>
              <w:t xml:space="preserve"> with an often geographically dispersed team</w:t>
            </w:r>
            <w:r w:rsidR="00960724">
              <w:rPr>
                <w:rFonts w:ascii="Calibri" w:eastAsia="Times New Roman" w:hAnsi="Calibri" w:cs="Calibri"/>
                <w:lang w:eastAsia="en-GB"/>
              </w:rPr>
              <w:t>.</w:t>
            </w:r>
          </w:p>
          <w:p w14:paraId="3F0F8B7A" w14:textId="77777777" w:rsidR="002629C7" w:rsidRPr="00973A69" w:rsidRDefault="002629C7" w:rsidP="00D87206">
            <w:pPr>
              <w:jc w:val="both"/>
              <w:rPr>
                <w:rFonts w:ascii="Tahoma" w:hAnsi="Tahoma" w:cs="Tahoma"/>
                <w:sz w:val="20"/>
                <w:szCs w:val="20"/>
              </w:rPr>
            </w:pPr>
          </w:p>
        </w:tc>
      </w:tr>
    </w:tbl>
    <w:p w14:paraId="485DDB41" w14:textId="77777777" w:rsidR="003741BF" w:rsidRDefault="003741BF" w:rsidP="003741BF">
      <w:pPr>
        <w:pStyle w:val="NoSpacing"/>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2255"/>
        <w:gridCol w:w="1832"/>
        <w:gridCol w:w="1692"/>
        <w:gridCol w:w="1685"/>
      </w:tblGrid>
      <w:tr w:rsidR="00D37AC2" w:rsidRPr="008236E1" w14:paraId="64543249" w14:textId="09374B6D" w:rsidTr="00165B38">
        <w:trPr>
          <w:jc w:val="center"/>
        </w:trPr>
        <w:tc>
          <w:tcPr>
            <w:tcW w:w="1552" w:type="dxa"/>
            <w:shd w:val="clear" w:color="auto" w:fill="A6A6A6" w:themeFill="background1" w:themeFillShade="A6"/>
          </w:tcPr>
          <w:p w14:paraId="53B11E82" w14:textId="77777777" w:rsidR="00D37AC2" w:rsidRPr="00D37AC2" w:rsidRDefault="00D37AC2" w:rsidP="00D37AC2">
            <w:pPr>
              <w:spacing w:before="120" w:after="120"/>
              <w:jc w:val="center"/>
              <w:rPr>
                <w:rFonts w:cstheme="minorHAnsi"/>
                <w:b/>
              </w:rPr>
            </w:pPr>
            <w:r w:rsidRPr="00D37AC2">
              <w:rPr>
                <w:rFonts w:cstheme="minorHAnsi"/>
                <w:b/>
              </w:rPr>
              <w:t>Line Manager</w:t>
            </w:r>
          </w:p>
        </w:tc>
        <w:tc>
          <w:tcPr>
            <w:tcW w:w="2255" w:type="dxa"/>
            <w:shd w:val="clear" w:color="auto" w:fill="A6A6A6" w:themeFill="background1" w:themeFillShade="A6"/>
          </w:tcPr>
          <w:p w14:paraId="4CEC4F85" w14:textId="77777777" w:rsidR="00D37AC2" w:rsidRPr="00D37AC2" w:rsidRDefault="00D37AC2" w:rsidP="00D37AC2">
            <w:pPr>
              <w:spacing w:before="120" w:after="120"/>
              <w:jc w:val="center"/>
              <w:rPr>
                <w:rFonts w:cstheme="minorHAnsi"/>
                <w:b/>
              </w:rPr>
            </w:pPr>
            <w:r w:rsidRPr="00D37AC2">
              <w:rPr>
                <w:rFonts w:cstheme="minorHAnsi"/>
                <w:b/>
              </w:rPr>
              <w:t>Dotted Line</w:t>
            </w:r>
          </w:p>
        </w:tc>
        <w:tc>
          <w:tcPr>
            <w:tcW w:w="1832" w:type="dxa"/>
            <w:shd w:val="clear" w:color="auto" w:fill="A6A6A6" w:themeFill="background1" w:themeFillShade="A6"/>
          </w:tcPr>
          <w:p w14:paraId="20B3898B" w14:textId="77777777" w:rsidR="00D37AC2" w:rsidRPr="00D37AC2" w:rsidRDefault="00D37AC2" w:rsidP="00D37AC2">
            <w:pPr>
              <w:spacing w:before="120" w:after="120"/>
              <w:jc w:val="center"/>
              <w:rPr>
                <w:rFonts w:cstheme="minorHAnsi"/>
                <w:b/>
              </w:rPr>
            </w:pPr>
            <w:r w:rsidRPr="00D37AC2">
              <w:rPr>
                <w:rFonts w:cstheme="minorHAnsi"/>
                <w:b/>
              </w:rPr>
              <w:t>Direct Reports</w:t>
            </w:r>
          </w:p>
        </w:tc>
        <w:tc>
          <w:tcPr>
            <w:tcW w:w="1692" w:type="dxa"/>
            <w:shd w:val="clear" w:color="auto" w:fill="A6A6A6" w:themeFill="background1" w:themeFillShade="A6"/>
          </w:tcPr>
          <w:p w14:paraId="22B06660" w14:textId="77777777" w:rsidR="00D37AC2" w:rsidRPr="00D37AC2" w:rsidRDefault="00D37AC2" w:rsidP="00D37AC2">
            <w:pPr>
              <w:spacing w:before="120" w:after="120"/>
              <w:jc w:val="center"/>
              <w:rPr>
                <w:rFonts w:cstheme="minorHAnsi"/>
                <w:b/>
              </w:rPr>
            </w:pPr>
            <w:r w:rsidRPr="00D37AC2">
              <w:rPr>
                <w:rFonts w:cstheme="minorHAnsi"/>
                <w:b/>
              </w:rPr>
              <w:t>Dotted Line</w:t>
            </w:r>
          </w:p>
        </w:tc>
        <w:tc>
          <w:tcPr>
            <w:tcW w:w="1685" w:type="dxa"/>
            <w:shd w:val="clear" w:color="auto" w:fill="A6A6A6" w:themeFill="background1" w:themeFillShade="A6"/>
          </w:tcPr>
          <w:p w14:paraId="295550C4" w14:textId="04BEE029" w:rsidR="00D37AC2" w:rsidRPr="00D37AC2" w:rsidRDefault="00D37AC2" w:rsidP="00D37AC2">
            <w:pPr>
              <w:spacing w:before="120" w:after="120"/>
              <w:jc w:val="center"/>
              <w:rPr>
                <w:rFonts w:cstheme="minorHAnsi"/>
                <w:b/>
              </w:rPr>
            </w:pPr>
            <w:r w:rsidRPr="00D37AC2">
              <w:rPr>
                <w:rFonts w:cstheme="minorHAnsi"/>
                <w:b/>
              </w:rPr>
              <w:t>Home base</w:t>
            </w:r>
          </w:p>
        </w:tc>
      </w:tr>
      <w:tr w:rsidR="00D37AC2" w:rsidRPr="008236E1" w14:paraId="336C50ED" w14:textId="49084392" w:rsidTr="00D37AC2">
        <w:trPr>
          <w:jc w:val="center"/>
        </w:trPr>
        <w:tc>
          <w:tcPr>
            <w:tcW w:w="1552" w:type="dxa"/>
            <w:vAlign w:val="center"/>
          </w:tcPr>
          <w:p w14:paraId="0D1A0A51" w14:textId="6CFB50C0" w:rsidR="00D37AC2" w:rsidRPr="00D37AC2" w:rsidRDefault="005F59CA" w:rsidP="00D37AC2">
            <w:pPr>
              <w:pStyle w:val="ListParagraph"/>
              <w:ind w:left="0"/>
              <w:jc w:val="center"/>
              <w:rPr>
                <w:rFonts w:asciiTheme="minorHAnsi" w:hAnsiTheme="minorHAnsi" w:cstheme="minorHAnsi"/>
                <w:sz w:val="22"/>
                <w:szCs w:val="22"/>
              </w:rPr>
            </w:pPr>
            <w:r>
              <w:rPr>
                <w:rFonts w:asciiTheme="minorHAnsi" w:hAnsiTheme="minorHAnsi" w:cstheme="minorHAnsi"/>
                <w:sz w:val="22"/>
                <w:szCs w:val="22"/>
              </w:rPr>
              <w:t>VP Engineering</w:t>
            </w:r>
          </w:p>
        </w:tc>
        <w:tc>
          <w:tcPr>
            <w:tcW w:w="2255" w:type="dxa"/>
            <w:vAlign w:val="center"/>
          </w:tcPr>
          <w:p w14:paraId="06E2D2F1" w14:textId="0553007C" w:rsidR="00D37AC2" w:rsidRPr="00D37AC2" w:rsidRDefault="00D37AC2" w:rsidP="00D37AC2">
            <w:pPr>
              <w:spacing w:after="0"/>
              <w:jc w:val="center"/>
              <w:rPr>
                <w:rFonts w:cstheme="minorHAnsi"/>
              </w:rPr>
            </w:pPr>
            <w:r w:rsidRPr="00D37AC2">
              <w:rPr>
                <w:rFonts w:cstheme="minorHAnsi"/>
              </w:rPr>
              <w:t>Part 145 Manager</w:t>
            </w:r>
          </w:p>
          <w:p w14:paraId="3AD95B55" w14:textId="2CC118D8" w:rsidR="00D37AC2" w:rsidRPr="00D37AC2" w:rsidRDefault="00D37AC2" w:rsidP="00D37AC2">
            <w:pPr>
              <w:spacing w:after="0"/>
              <w:jc w:val="center"/>
              <w:rPr>
                <w:rFonts w:cstheme="minorHAnsi"/>
              </w:rPr>
            </w:pPr>
            <w:r w:rsidRPr="00D37AC2">
              <w:rPr>
                <w:rFonts w:cstheme="minorHAnsi"/>
              </w:rPr>
              <w:t>(Form 4).</w:t>
            </w:r>
          </w:p>
          <w:p w14:paraId="7C9BD5A8" w14:textId="77777777" w:rsidR="00D37AC2" w:rsidRPr="00D37AC2" w:rsidRDefault="00D37AC2" w:rsidP="00D37AC2">
            <w:pPr>
              <w:spacing w:after="0"/>
              <w:jc w:val="center"/>
              <w:rPr>
                <w:rFonts w:cstheme="minorHAnsi"/>
              </w:rPr>
            </w:pPr>
            <w:r w:rsidRPr="00D37AC2">
              <w:rPr>
                <w:rFonts w:cstheme="minorHAnsi"/>
              </w:rPr>
              <w:t>CAM</w:t>
            </w:r>
          </w:p>
          <w:p w14:paraId="3B0A7934" w14:textId="438C68C3" w:rsidR="00D37AC2" w:rsidRPr="00D37AC2" w:rsidRDefault="00D37AC2" w:rsidP="00D37AC2">
            <w:pPr>
              <w:spacing w:after="0"/>
              <w:jc w:val="center"/>
              <w:rPr>
                <w:rFonts w:cstheme="minorHAnsi"/>
              </w:rPr>
            </w:pPr>
            <w:r w:rsidRPr="00D37AC2">
              <w:rPr>
                <w:rFonts w:cstheme="minorHAnsi"/>
              </w:rPr>
              <w:t>HOD</w:t>
            </w:r>
          </w:p>
        </w:tc>
        <w:tc>
          <w:tcPr>
            <w:tcW w:w="1832" w:type="dxa"/>
            <w:vAlign w:val="center"/>
          </w:tcPr>
          <w:p w14:paraId="1BD88713" w14:textId="7601671F" w:rsidR="00D37AC2" w:rsidRPr="00D37AC2" w:rsidRDefault="00D37AC2" w:rsidP="00D37AC2">
            <w:pPr>
              <w:pStyle w:val="Header"/>
              <w:jc w:val="center"/>
              <w:rPr>
                <w:rFonts w:cstheme="minorHAnsi"/>
              </w:rPr>
            </w:pPr>
            <w:r w:rsidRPr="00D37AC2">
              <w:rPr>
                <w:rFonts w:cstheme="minorHAnsi"/>
              </w:rPr>
              <w:t>NIL</w:t>
            </w:r>
          </w:p>
        </w:tc>
        <w:tc>
          <w:tcPr>
            <w:tcW w:w="1692" w:type="dxa"/>
            <w:vAlign w:val="center"/>
          </w:tcPr>
          <w:p w14:paraId="5CC2ACCE" w14:textId="07DDA883" w:rsidR="00D37AC2" w:rsidRPr="00D37AC2" w:rsidRDefault="006A0C7C" w:rsidP="00D37AC2">
            <w:pPr>
              <w:spacing w:after="0"/>
              <w:jc w:val="center"/>
              <w:rPr>
                <w:rFonts w:cstheme="minorHAnsi"/>
              </w:rPr>
            </w:pPr>
            <w:r>
              <w:rPr>
                <w:rFonts w:cstheme="minorHAnsi"/>
              </w:rPr>
              <w:t>Integrated Delivery Team</w:t>
            </w:r>
          </w:p>
        </w:tc>
        <w:tc>
          <w:tcPr>
            <w:tcW w:w="1685" w:type="dxa"/>
            <w:vAlign w:val="center"/>
          </w:tcPr>
          <w:p w14:paraId="5D15261B" w14:textId="528C2B22" w:rsidR="00D37AC2" w:rsidRPr="00D37AC2" w:rsidRDefault="00396399" w:rsidP="00D37AC2">
            <w:pPr>
              <w:spacing w:after="0"/>
              <w:jc w:val="center"/>
              <w:rPr>
                <w:rFonts w:cstheme="minorHAnsi"/>
              </w:rPr>
            </w:pPr>
            <w:r>
              <w:rPr>
                <w:rFonts w:cstheme="minorHAnsi"/>
              </w:rPr>
              <w:t xml:space="preserve">As </w:t>
            </w:r>
            <w:proofErr w:type="gramStart"/>
            <w:r>
              <w:rPr>
                <w:rFonts w:cstheme="minorHAnsi"/>
              </w:rPr>
              <w:t>agreed</w:t>
            </w:r>
            <w:proofErr w:type="gramEnd"/>
          </w:p>
        </w:tc>
      </w:tr>
    </w:tbl>
    <w:p w14:paraId="5D6951C3" w14:textId="77777777" w:rsidR="00E4167E" w:rsidRPr="00973A69" w:rsidRDefault="00E4167E" w:rsidP="003741BF">
      <w:pPr>
        <w:pStyle w:val="NoSpacing"/>
        <w:rPr>
          <w:rFonts w:ascii="Tahoma" w:hAnsi="Tahoma" w:cs="Tahoma"/>
        </w:rPr>
      </w:pPr>
    </w:p>
    <w:tbl>
      <w:tblPr>
        <w:tblStyle w:val="TableGrid"/>
        <w:tblW w:w="0" w:type="auto"/>
        <w:tblLook w:val="04A0" w:firstRow="1" w:lastRow="0" w:firstColumn="1" w:lastColumn="0" w:noHBand="0" w:noVBand="1"/>
      </w:tblPr>
      <w:tblGrid>
        <w:gridCol w:w="9016"/>
      </w:tblGrid>
      <w:tr w:rsidR="00E4167E" w:rsidRPr="00973A69" w14:paraId="426A876C" w14:textId="77777777" w:rsidTr="00165B38">
        <w:trPr>
          <w:trHeight w:val="454"/>
        </w:trPr>
        <w:tc>
          <w:tcPr>
            <w:tcW w:w="9016" w:type="dxa"/>
            <w:shd w:val="clear" w:color="auto" w:fill="A6A6A6" w:themeFill="background1" w:themeFillShade="A6"/>
            <w:vAlign w:val="center"/>
          </w:tcPr>
          <w:p w14:paraId="2C72927D" w14:textId="77777777" w:rsidR="00E4167E" w:rsidRPr="00973A69" w:rsidRDefault="00E4167E" w:rsidP="000A2227">
            <w:pPr>
              <w:pStyle w:val="Header"/>
              <w:rPr>
                <w:rFonts w:ascii="Tahoma" w:hAnsi="Tahoma" w:cs="Tahoma"/>
                <w:b/>
                <w:szCs w:val="28"/>
              </w:rPr>
            </w:pPr>
            <w:r w:rsidRPr="00973A69">
              <w:rPr>
                <w:rFonts w:ascii="Tahoma" w:hAnsi="Tahoma" w:cs="Tahoma"/>
                <w:b/>
                <w:szCs w:val="28"/>
              </w:rPr>
              <w:t>Key Responsibilities</w:t>
            </w:r>
          </w:p>
        </w:tc>
      </w:tr>
      <w:tr w:rsidR="002819A1" w:rsidRPr="00973A69" w14:paraId="0F38072C" w14:textId="77777777" w:rsidTr="00C17DC6">
        <w:tc>
          <w:tcPr>
            <w:tcW w:w="9016" w:type="dxa"/>
            <w:tcBorders>
              <w:bottom w:val="single" w:sz="4" w:space="0" w:color="auto"/>
            </w:tcBorders>
            <w:vAlign w:val="center"/>
          </w:tcPr>
          <w:p w14:paraId="449D6B3E" w14:textId="77777777" w:rsidR="00165B38" w:rsidRPr="00165B38" w:rsidRDefault="00165B38" w:rsidP="00165B38">
            <w:pPr>
              <w:rPr>
                <w:rFonts w:ascii="Calibri" w:eastAsia="Times New Roman" w:hAnsi="Calibri" w:cs="Calibri"/>
                <w:b/>
                <w:bCs/>
                <w:u w:val="single"/>
                <w:lang w:val="en-US" w:eastAsia="en-GB"/>
              </w:rPr>
            </w:pPr>
            <w:r w:rsidRPr="00165B38">
              <w:rPr>
                <w:rFonts w:ascii="Calibri" w:eastAsia="Times New Roman" w:hAnsi="Calibri" w:cs="Calibri"/>
                <w:b/>
                <w:bCs/>
                <w:u w:val="single"/>
                <w:lang w:val="en-US" w:eastAsia="en-GB"/>
              </w:rPr>
              <w:t>Responsibility &amp; Ownership</w:t>
            </w:r>
          </w:p>
          <w:p w14:paraId="66281591" w14:textId="77777777" w:rsidR="00165B38" w:rsidRPr="00165B38" w:rsidRDefault="00165B38" w:rsidP="00165B38">
            <w:pPr>
              <w:rPr>
                <w:rFonts w:ascii="Calibri" w:eastAsia="Times New Roman" w:hAnsi="Calibri" w:cs="Calibri"/>
                <w:b/>
                <w:bCs/>
                <w:u w:val="single"/>
                <w:lang w:val="en-US" w:eastAsia="en-GB"/>
              </w:rPr>
            </w:pPr>
            <w:r w:rsidRPr="00165B38">
              <w:rPr>
                <w:rFonts w:ascii="Calibri" w:eastAsia="Times New Roman" w:hAnsi="Calibri" w:cs="Calibri"/>
                <w:b/>
                <w:bCs/>
                <w:u w:val="single"/>
                <w:lang w:val="en-US" w:eastAsia="en-GB"/>
              </w:rPr>
              <w:t xml:space="preserve">  </w:t>
            </w:r>
          </w:p>
          <w:p w14:paraId="2AD05908" w14:textId="434226D6" w:rsidR="00165B38" w:rsidRDefault="00E463A9" w:rsidP="00E463A9">
            <w:pPr>
              <w:numPr>
                <w:ilvl w:val="0"/>
                <w:numId w:val="18"/>
              </w:numPr>
              <w:contextualSpacing/>
              <w:rPr>
                <w:lang w:val="en" w:eastAsia="en-GB"/>
              </w:rPr>
            </w:pPr>
            <w:r w:rsidRPr="00E463A9">
              <w:rPr>
                <w:rFonts w:ascii="Calibri" w:hAnsi="Calibri" w:cs="Calibri"/>
                <w:color w:val="404040"/>
              </w:rPr>
              <w:t xml:space="preserve">Lead and </w:t>
            </w:r>
            <w:r w:rsidRPr="00E463A9">
              <w:rPr>
                <w:rFonts w:ascii="Calibri" w:eastAsia="Times New Roman" w:hAnsi="Calibri" w:cs="Calibri"/>
                <w:color w:val="404040"/>
                <w:lang w:val="en" w:eastAsia="en-GB"/>
              </w:rPr>
              <w:t>represent</w:t>
            </w:r>
            <w:r w:rsidRPr="00E463A9">
              <w:rPr>
                <w:rFonts w:ascii="Calibri" w:hAnsi="Calibri" w:cs="Calibri"/>
                <w:color w:val="404040"/>
              </w:rPr>
              <w:t xml:space="preserve"> the engineering department throughout all project phases, from bid feasibility to contract sustainment, across business functions.</w:t>
            </w:r>
          </w:p>
          <w:p w14:paraId="5B8DCB56" w14:textId="3EE6F4B3" w:rsidR="00072F39" w:rsidRPr="00165B38" w:rsidRDefault="000167D2" w:rsidP="000167D2">
            <w:pPr>
              <w:numPr>
                <w:ilvl w:val="0"/>
                <w:numId w:val="18"/>
              </w:numPr>
              <w:contextualSpacing/>
              <w:rPr>
                <w:lang w:val="en" w:eastAsia="en-GB"/>
              </w:rPr>
            </w:pPr>
            <w:r w:rsidRPr="000167D2">
              <w:rPr>
                <w:rFonts w:ascii="Calibri" w:hAnsi="Calibri" w:cs="Calibri"/>
                <w:color w:val="404040"/>
              </w:rPr>
              <w:t xml:space="preserve">Be </w:t>
            </w:r>
            <w:r w:rsidRPr="000167D2">
              <w:rPr>
                <w:rFonts w:ascii="Calibri" w:eastAsia="Times New Roman" w:hAnsi="Calibri" w:cs="Calibri"/>
                <w:color w:val="404040"/>
                <w:lang w:val="en" w:eastAsia="en-GB"/>
              </w:rPr>
              <w:t>responsible</w:t>
            </w:r>
            <w:r w:rsidRPr="000167D2">
              <w:rPr>
                <w:rFonts w:ascii="Calibri" w:hAnsi="Calibri" w:cs="Calibri"/>
                <w:color w:val="404040"/>
              </w:rPr>
              <w:t xml:space="preserve"> for delivering an engineering-optimised solution for Programmes and Operations, addressing aspects including time, cost, quality, reliability, and obsolescence.</w:t>
            </w:r>
          </w:p>
          <w:p w14:paraId="15F45D54" w14:textId="09AF3499" w:rsidR="00165B38" w:rsidRPr="00CC125F" w:rsidRDefault="00DE509E" w:rsidP="00DE509E">
            <w:pPr>
              <w:numPr>
                <w:ilvl w:val="0"/>
                <w:numId w:val="18"/>
              </w:numPr>
              <w:contextualSpacing/>
              <w:rPr>
                <w:lang w:val="en" w:eastAsia="en-GB"/>
              </w:rPr>
            </w:pPr>
            <w:r w:rsidRPr="00DE509E">
              <w:rPr>
                <w:rFonts w:ascii="Calibri" w:hAnsi="Calibri" w:cs="Calibri"/>
                <w:color w:val="404040"/>
              </w:rPr>
              <w:t xml:space="preserve">Serve as </w:t>
            </w:r>
            <w:r w:rsidRPr="00DE509E">
              <w:rPr>
                <w:rFonts w:ascii="Calibri" w:eastAsia="Times New Roman" w:hAnsi="Calibri" w:cs="Calibri"/>
                <w:color w:val="404040"/>
                <w:lang w:val="en" w:eastAsia="en-GB"/>
              </w:rPr>
              <w:t>the</w:t>
            </w:r>
            <w:r w:rsidRPr="00DE509E">
              <w:rPr>
                <w:rFonts w:ascii="Calibri" w:hAnsi="Calibri" w:cs="Calibri"/>
                <w:color w:val="404040"/>
              </w:rPr>
              <w:t xml:space="preserve"> liaison between the Programmes Department and the relevant Engineering Departments.</w:t>
            </w:r>
          </w:p>
          <w:p w14:paraId="506EE2BC" w14:textId="194576E3" w:rsidR="00CC125F" w:rsidRPr="00165B38" w:rsidRDefault="00CC125F" w:rsidP="00DE509E">
            <w:pPr>
              <w:numPr>
                <w:ilvl w:val="0"/>
                <w:numId w:val="18"/>
              </w:numPr>
              <w:contextualSpacing/>
              <w:rPr>
                <w:lang w:val="en" w:eastAsia="en-GB"/>
              </w:rPr>
            </w:pPr>
            <w:r>
              <w:t>Manage Engineering risk</w:t>
            </w:r>
            <w:r w:rsidR="00921E50">
              <w:t xml:space="preserve"> and opportunities</w:t>
            </w:r>
            <w:r>
              <w:t>, p</w:t>
            </w:r>
            <w:proofErr w:type="spellStart"/>
            <w:r w:rsidRPr="00165B38">
              <w:rPr>
                <w:rFonts w:ascii="Calibri" w:eastAsia="Times New Roman" w:hAnsi="Calibri" w:cs="Calibri"/>
                <w:color w:val="404040"/>
                <w:lang w:val="en" w:eastAsia="en-GB"/>
              </w:rPr>
              <w:t>rovid</w:t>
            </w:r>
            <w:r>
              <w:rPr>
                <w:rFonts w:ascii="Calibri" w:eastAsia="Times New Roman" w:hAnsi="Calibri" w:cs="Calibri"/>
                <w:color w:val="404040"/>
                <w:lang w:val="en" w:eastAsia="en-GB"/>
              </w:rPr>
              <w:t>ing</w:t>
            </w:r>
            <w:proofErr w:type="spellEnd"/>
            <w:r w:rsidRPr="00165B38">
              <w:rPr>
                <w:rFonts w:ascii="Calibri" w:eastAsia="Times New Roman" w:hAnsi="Calibri" w:cs="Calibri"/>
                <w:color w:val="404040"/>
                <w:lang w:val="en" w:eastAsia="en-GB"/>
              </w:rPr>
              <w:t xml:space="preserve"> initial assessment</w:t>
            </w:r>
            <w:r>
              <w:rPr>
                <w:rFonts w:ascii="Calibri" w:eastAsia="Times New Roman" w:hAnsi="Calibri" w:cs="Calibri"/>
                <w:color w:val="404040"/>
                <w:lang w:val="en" w:eastAsia="en-GB"/>
              </w:rPr>
              <w:t xml:space="preserve"> </w:t>
            </w:r>
            <w:r w:rsidRPr="00165B38">
              <w:rPr>
                <w:rFonts w:ascii="Calibri" w:eastAsia="Times New Roman" w:hAnsi="Calibri" w:cs="Calibri"/>
                <w:color w:val="404040"/>
                <w:lang w:val="en" w:eastAsia="en-GB"/>
              </w:rPr>
              <w:t xml:space="preserve">and </w:t>
            </w:r>
            <w:r>
              <w:rPr>
                <w:rFonts w:ascii="Calibri" w:eastAsia="Times New Roman" w:hAnsi="Calibri" w:cs="Calibri"/>
                <w:color w:val="404040"/>
                <w:lang w:val="en" w:eastAsia="en-GB"/>
              </w:rPr>
              <w:t xml:space="preserve">subsequent </w:t>
            </w:r>
            <w:r w:rsidRPr="00165B38">
              <w:rPr>
                <w:rFonts w:ascii="Calibri" w:eastAsia="Times New Roman" w:hAnsi="Calibri" w:cs="Calibri"/>
                <w:color w:val="404040"/>
                <w:lang w:val="en" w:eastAsia="en-GB"/>
              </w:rPr>
              <w:t>impact statements</w:t>
            </w:r>
            <w:r>
              <w:rPr>
                <w:rFonts w:ascii="Calibri" w:eastAsia="Times New Roman" w:hAnsi="Calibri" w:cs="Calibri"/>
                <w:color w:val="404040"/>
                <w:lang w:val="en" w:eastAsia="en-GB"/>
              </w:rPr>
              <w:t xml:space="preserve"> as required</w:t>
            </w:r>
            <w:r w:rsidRPr="00165B38">
              <w:rPr>
                <w:rFonts w:ascii="Calibri" w:eastAsia="Times New Roman" w:hAnsi="Calibri" w:cs="Calibri"/>
                <w:color w:val="404040"/>
                <w:lang w:val="en" w:eastAsia="en-GB"/>
              </w:rPr>
              <w:t xml:space="preserve"> across the multi-functional team</w:t>
            </w:r>
            <w:r w:rsidR="00E85AA1">
              <w:rPr>
                <w:rFonts w:ascii="Calibri" w:eastAsia="Times New Roman" w:hAnsi="Calibri" w:cs="Calibri"/>
                <w:color w:val="404040"/>
                <w:lang w:val="en" w:eastAsia="en-GB"/>
              </w:rPr>
              <w:t xml:space="preserve"> in support of effective delivery</w:t>
            </w:r>
            <w:r w:rsidR="00921E50">
              <w:rPr>
                <w:rFonts w:ascii="Calibri" w:eastAsia="Times New Roman" w:hAnsi="Calibri" w:cs="Calibri"/>
                <w:color w:val="404040"/>
                <w:lang w:val="en" w:eastAsia="en-GB"/>
              </w:rPr>
              <w:t xml:space="preserve"> through mitigation plans.</w:t>
            </w:r>
          </w:p>
          <w:p w14:paraId="5AAD15B0" w14:textId="781FE4F5" w:rsidR="00165B38" w:rsidRPr="00165B38" w:rsidRDefault="00D344CF" w:rsidP="00D344CF">
            <w:pPr>
              <w:numPr>
                <w:ilvl w:val="0"/>
                <w:numId w:val="18"/>
              </w:numPr>
              <w:contextualSpacing/>
              <w:rPr>
                <w:lang w:val="en" w:eastAsia="en-GB"/>
              </w:rPr>
            </w:pPr>
            <w:r w:rsidRPr="00D344CF">
              <w:rPr>
                <w:rFonts w:ascii="Calibri" w:hAnsi="Calibri" w:cs="Calibri"/>
                <w:color w:val="404040"/>
              </w:rPr>
              <w:t>Provide prompt, accurate, and compliant responses to customer enquiries; prepare clarifications and deviations for bids; and oversee technical optimisation and negotiations in collaboration with the core bid team.</w:t>
            </w:r>
          </w:p>
          <w:p w14:paraId="3D25E74A" w14:textId="11B164CF"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Responsib</w:t>
            </w:r>
            <w:r w:rsidR="00460EFF">
              <w:rPr>
                <w:rFonts w:ascii="Calibri" w:eastAsia="Times New Roman" w:hAnsi="Calibri" w:cs="Calibri"/>
                <w:color w:val="404040"/>
                <w:lang w:val="en" w:eastAsia="en-GB"/>
              </w:rPr>
              <w:t>le</w:t>
            </w:r>
            <w:r w:rsidRPr="00165B38">
              <w:rPr>
                <w:rFonts w:ascii="Calibri" w:eastAsia="Times New Roman" w:hAnsi="Calibri" w:cs="Calibri"/>
                <w:color w:val="404040"/>
                <w:lang w:val="en" w:eastAsia="en-GB"/>
              </w:rPr>
              <w:t xml:space="preserve"> for the development of the technical solution during the bid phase. </w:t>
            </w:r>
          </w:p>
          <w:p w14:paraId="7226E05D" w14:textId="6254869B" w:rsidR="00165B38" w:rsidRPr="00165B38" w:rsidRDefault="00437A29" w:rsidP="00437A29">
            <w:pPr>
              <w:numPr>
                <w:ilvl w:val="0"/>
                <w:numId w:val="18"/>
              </w:numPr>
              <w:contextualSpacing/>
              <w:rPr>
                <w:lang w:val="en" w:eastAsia="en-GB"/>
              </w:rPr>
            </w:pPr>
            <w:r w:rsidRPr="00437A29">
              <w:rPr>
                <w:rFonts w:ascii="Calibri" w:hAnsi="Calibri" w:cs="Calibri"/>
                <w:color w:val="404040"/>
              </w:rPr>
              <w:t>Act as the engineering representative for the Regulatory Nominate Postholders, serving as the interface with both the customer and the programmes department as needed.</w:t>
            </w:r>
          </w:p>
          <w:p w14:paraId="67A34B59" w14:textId="098972FA"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Lead the technical domain architects and validate the design with stakeholders and sponsors to ensure the design</w:t>
            </w:r>
            <w:r w:rsidR="00437A29">
              <w:rPr>
                <w:rFonts w:ascii="Calibri" w:eastAsia="Times New Roman" w:hAnsi="Calibri" w:cs="Calibri"/>
                <w:color w:val="404040"/>
                <w:lang w:val="en" w:eastAsia="en-GB"/>
              </w:rPr>
              <w:t>/solution</w:t>
            </w:r>
            <w:r w:rsidRPr="00165B38">
              <w:rPr>
                <w:rFonts w:ascii="Calibri" w:eastAsia="Times New Roman" w:hAnsi="Calibri" w:cs="Calibri"/>
                <w:color w:val="404040"/>
                <w:lang w:val="en" w:eastAsia="en-GB"/>
              </w:rPr>
              <w:t xml:space="preserve"> satisfies the requirements. </w:t>
            </w:r>
          </w:p>
          <w:p w14:paraId="3B09489D" w14:textId="77777777"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Represent the engineering department and communicating on all levels.</w:t>
            </w:r>
          </w:p>
          <w:p w14:paraId="6E336F8C" w14:textId="48366DF1"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lastRenderedPageBreak/>
              <w:t xml:space="preserve">Act as </w:t>
            </w:r>
            <w:r w:rsidR="00EB0D2E">
              <w:rPr>
                <w:rFonts w:ascii="Calibri" w:eastAsia="Times New Roman" w:hAnsi="Calibri" w:cs="Calibri"/>
                <w:color w:val="404040"/>
                <w:lang w:val="en" w:eastAsia="en-GB"/>
              </w:rPr>
              <w:t xml:space="preserve">subject matter expert </w:t>
            </w:r>
            <w:r w:rsidRPr="00165B38">
              <w:rPr>
                <w:rFonts w:ascii="Calibri" w:eastAsia="Times New Roman" w:hAnsi="Calibri" w:cs="Calibri"/>
                <w:color w:val="404040"/>
                <w:lang w:val="en" w:eastAsia="en-GB"/>
              </w:rPr>
              <w:t>on engineering subjects to other company departments as and when required</w:t>
            </w:r>
          </w:p>
          <w:p w14:paraId="464B36C2" w14:textId="26A3A76F"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Identify continuous improvement opportunities across all </w:t>
            </w:r>
            <w:r w:rsidR="00BC3115">
              <w:rPr>
                <w:rFonts w:ascii="Calibri" w:eastAsia="Times New Roman" w:hAnsi="Calibri" w:cs="Calibri"/>
                <w:color w:val="404040"/>
                <w:lang w:val="en" w:eastAsia="en-GB"/>
              </w:rPr>
              <w:t xml:space="preserve">Engineering </w:t>
            </w:r>
            <w:r w:rsidRPr="00165B38">
              <w:rPr>
                <w:rFonts w:ascii="Calibri" w:eastAsia="Times New Roman" w:hAnsi="Calibri" w:cs="Calibri"/>
                <w:color w:val="404040"/>
                <w:lang w:val="en" w:eastAsia="en-GB"/>
              </w:rPr>
              <w:t>departments during the designated tasking.</w:t>
            </w:r>
          </w:p>
          <w:p w14:paraId="4E8095B4" w14:textId="14A182F6" w:rsidR="00165B38" w:rsidRPr="00165B38" w:rsidRDefault="00BC3115" w:rsidP="00BC3115">
            <w:pPr>
              <w:numPr>
                <w:ilvl w:val="0"/>
                <w:numId w:val="18"/>
              </w:numPr>
              <w:contextualSpacing/>
              <w:rPr>
                <w:lang w:val="en" w:eastAsia="en-GB"/>
              </w:rPr>
            </w:pPr>
            <w:r w:rsidRPr="00BC3115">
              <w:rPr>
                <w:rFonts w:ascii="Calibri" w:hAnsi="Calibri" w:cs="Calibri"/>
                <w:color w:val="404040"/>
              </w:rPr>
              <w:t>Coordinate and report on the scope of contracted work within established budgets using evaluation methodologies, ensuring that each milestone is delivered in accordance with agreed performance, cost, quality, and schedule commitments.</w:t>
            </w:r>
          </w:p>
          <w:p w14:paraId="35FC0371" w14:textId="16E0A42C" w:rsidR="00165B38" w:rsidRPr="00165B38" w:rsidRDefault="0012306E" w:rsidP="0012306E">
            <w:pPr>
              <w:numPr>
                <w:ilvl w:val="0"/>
                <w:numId w:val="18"/>
              </w:numPr>
              <w:contextualSpacing/>
              <w:rPr>
                <w:lang w:val="en" w:eastAsia="en-GB"/>
              </w:rPr>
            </w:pPr>
            <w:r w:rsidRPr="0012306E">
              <w:rPr>
                <w:rFonts w:ascii="Calibri" w:hAnsi="Calibri" w:cs="Calibri"/>
                <w:color w:val="404040"/>
              </w:rPr>
              <w:t xml:space="preserve">Deliver integrated solutions encompassing airworthiness management, aircraft maintenance, programme management, engineering, supply chain operations, business transformation, and commercial </w:t>
            </w:r>
            <w:r w:rsidRPr="0012306E">
              <w:rPr>
                <w:rFonts w:ascii="Calibri" w:eastAsia="Times New Roman" w:hAnsi="Calibri" w:cs="Calibri"/>
                <w:color w:val="404040"/>
                <w:lang w:val="en" w:eastAsia="en-GB"/>
              </w:rPr>
              <w:t>contracting</w:t>
            </w:r>
            <w:r w:rsidRPr="0012306E">
              <w:rPr>
                <w:rFonts w:ascii="Calibri" w:hAnsi="Calibri" w:cs="Calibri"/>
                <w:color w:val="404040"/>
              </w:rPr>
              <w:t xml:space="preserve"> for complex aerospace implementation programmes, all within a robust, multi-disciplinary governance framework.</w:t>
            </w:r>
          </w:p>
          <w:p w14:paraId="201CD2DB" w14:textId="77777777" w:rsidR="00165B38" w:rsidRPr="00165B38" w:rsidRDefault="00165B38" w:rsidP="00165B38">
            <w:pPr>
              <w:numPr>
                <w:ilvl w:val="0"/>
                <w:numId w:val="18"/>
              </w:numPr>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Effective reporting on key contractual </w:t>
            </w:r>
            <w:proofErr w:type="gramStart"/>
            <w:r w:rsidRPr="00165B38">
              <w:rPr>
                <w:rFonts w:ascii="Calibri" w:eastAsia="Times New Roman" w:hAnsi="Calibri" w:cs="Calibri"/>
                <w:color w:val="404040"/>
                <w:lang w:val="en" w:eastAsia="en-GB"/>
              </w:rPr>
              <w:t>deliverables</w:t>
            </w:r>
            <w:proofErr w:type="gramEnd"/>
            <w:r w:rsidRPr="00165B38">
              <w:rPr>
                <w:rFonts w:ascii="Calibri" w:eastAsia="Times New Roman" w:hAnsi="Calibri" w:cs="Calibri"/>
                <w:color w:val="404040"/>
                <w:lang w:val="en" w:eastAsia="en-GB"/>
              </w:rPr>
              <w:t xml:space="preserve"> e.g. KPI and PI performance.</w:t>
            </w:r>
          </w:p>
          <w:p w14:paraId="690BB1E9" w14:textId="0DF83116" w:rsidR="00165B38" w:rsidRPr="00E85AA1" w:rsidRDefault="00291A0F" w:rsidP="00E85AA1">
            <w:pPr>
              <w:numPr>
                <w:ilvl w:val="0"/>
                <w:numId w:val="18"/>
              </w:numPr>
              <w:contextualSpacing/>
              <w:rPr>
                <w:lang w:val="en" w:eastAsia="en-GB"/>
              </w:rPr>
            </w:pPr>
            <w:r w:rsidRPr="00291A0F">
              <w:rPr>
                <w:rFonts w:ascii="Calibri" w:hAnsi="Calibri" w:cs="Calibri"/>
                <w:color w:val="404040"/>
              </w:rPr>
              <w:t xml:space="preserve">Ensure </w:t>
            </w:r>
            <w:r w:rsidRPr="00291A0F">
              <w:rPr>
                <w:rFonts w:ascii="Calibri" w:eastAsia="Times New Roman" w:hAnsi="Calibri" w:cs="Calibri"/>
                <w:color w:val="404040"/>
                <w:lang w:val="en" w:eastAsia="en-GB"/>
              </w:rPr>
              <w:t>complete</w:t>
            </w:r>
            <w:r w:rsidRPr="00291A0F">
              <w:rPr>
                <w:rFonts w:ascii="Calibri" w:hAnsi="Calibri" w:cs="Calibri"/>
                <w:color w:val="404040"/>
              </w:rPr>
              <w:t xml:space="preserve"> understanding of customer and delivery requirements, communicate them effectively to the team, and integrate them into the delivery plan for implementation.</w:t>
            </w:r>
          </w:p>
          <w:p w14:paraId="432971A2" w14:textId="6C9D3B52" w:rsidR="00165B38" w:rsidRPr="00165B38" w:rsidRDefault="00F6209D" w:rsidP="00F6209D">
            <w:pPr>
              <w:numPr>
                <w:ilvl w:val="0"/>
                <w:numId w:val="18"/>
              </w:numPr>
              <w:contextualSpacing/>
              <w:rPr>
                <w:lang w:val="en" w:eastAsia="en-GB"/>
              </w:rPr>
            </w:pPr>
            <w:r w:rsidRPr="00F6209D">
              <w:rPr>
                <w:rFonts w:ascii="Calibri" w:hAnsi="Calibri" w:cs="Calibri"/>
                <w:color w:val="404040"/>
              </w:rPr>
              <w:t>Maintain regular and effective communication with internal customers, subject matter experts, partner companies, and industry stakeholders to ensure open channels and foster strong, trusted relationships.</w:t>
            </w:r>
          </w:p>
          <w:p w14:paraId="27F9315D" w14:textId="2D11A9FB" w:rsidR="00165B38" w:rsidRPr="00165B38" w:rsidRDefault="00921E50" w:rsidP="00921E50">
            <w:pPr>
              <w:numPr>
                <w:ilvl w:val="0"/>
                <w:numId w:val="18"/>
              </w:numPr>
              <w:contextualSpacing/>
              <w:rPr>
                <w:lang w:val="en" w:eastAsia="en-GB"/>
              </w:rPr>
            </w:pPr>
            <w:r w:rsidRPr="00921E50">
              <w:rPr>
                <w:rFonts w:ascii="Calibri" w:hAnsi="Calibri" w:cs="Calibri"/>
                <w:color w:val="404040"/>
              </w:rPr>
              <w:t>Lead problem-solving initiatives, demonstrating technical expertise and developing tactical solutions that align with customer perspectives.</w:t>
            </w:r>
          </w:p>
          <w:p w14:paraId="4122DAAF" w14:textId="77777777" w:rsidR="00711E16" w:rsidRPr="00165B38" w:rsidRDefault="00711E16" w:rsidP="00711E16">
            <w:pPr>
              <w:ind w:left="720"/>
              <w:contextualSpacing/>
              <w:rPr>
                <w:rFonts w:ascii="Calibri" w:eastAsia="Times New Roman" w:hAnsi="Calibri" w:cs="Calibri"/>
                <w:lang w:val="en-US" w:eastAsia="en-GB"/>
              </w:rPr>
            </w:pPr>
          </w:p>
          <w:p w14:paraId="48510B44" w14:textId="77777777" w:rsidR="00165B38" w:rsidRPr="00165B38" w:rsidRDefault="00165B38" w:rsidP="00165B38">
            <w:pPr>
              <w:contextualSpacing/>
              <w:rPr>
                <w:rFonts w:ascii="Calibri" w:eastAsia="Times New Roman" w:hAnsi="Calibri" w:cs="Calibri"/>
                <w:b/>
                <w:color w:val="1E1E1E"/>
                <w:u w:val="single"/>
                <w:lang w:eastAsia="en-GB"/>
              </w:rPr>
            </w:pPr>
            <w:r w:rsidRPr="00165B38">
              <w:rPr>
                <w:rFonts w:ascii="Calibri" w:eastAsia="Times New Roman" w:hAnsi="Calibri" w:cs="Calibri"/>
                <w:b/>
                <w:color w:val="1E1E1E"/>
                <w:u w:val="single"/>
                <w:lang w:eastAsia="en-GB"/>
              </w:rPr>
              <w:t xml:space="preserve"> Special Conditions</w:t>
            </w:r>
          </w:p>
          <w:p w14:paraId="2D9AC3BE" w14:textId="77777777" w:rsidR="00165B38" w:rsidRPr="00165B38" w:rsidRDefault="00165B38" w:rsidP="00165B38">
            <w:pPr>
              <w:numPr>
                <w:ilvl w:val="0"/>
                <w:numId w:val="19"/>
              </w:numPr>
              <w:ind w:left="757"/>
              <w:contextualSpacing/>
              <w:rPr>
                <w:rFonts w:ascii="Calibri" w:eastAsia="Times New Roman" w:hAnsi="Calibri" w:cs="Calibri"/>
                <w:color w:val="1E1E1E"/>
                <w:lang w:eastAsia="en-GB"/>
              </w:rPr>
            </w:pPr>
            <w:r w:rsidRPr="00165B38">
              <w:rPr>
                <w:rFonts w:ascii="Calibri" w:eastAsia="Times New Roman" w:hAnsi="Calibri" w:cs="Calibri"/>
                <w:color w:val="1E1E1E"/>
                <w:lang w:eastAsia="en-GB"/>
              </w:rPr>
              <w:t>Ad Hoc / Out-of-Hours work during urgent / unforeseen business requirements.</w:t>
            </w:r>
          </w:p>
          <w:p w14:paraId="255412C9" w14:textId="77777777" w:rsidR="00165B38" w:rsidRPr="00165B38" w:rsidRDefault="00165B38" w:rsidP="00165B38">
            <w:pPr>
              <w:numPr>
                <w:ilvl w:val="0"/>
                <w:numId w:val="19"/>
              </w:numPr>
              <w:ind w:left="757"/>
              <w:contextualSpacing/>
              <w:rPr>
                <w:rFonts w:ascii="Calibri" w:eastAsia="Times New Roman" w:hAnsi="Calibri" w:cs="Calibri"/>
                <w:color w:val="1E1E1E"/>
                <w:lang w:eastAsia="en-GB"/>
              </w:rPr>
            </w:pPr>
            <w:r w:rsidRPr="00165B38">
              <w:rPr>
                <w:rFonts w:ascii="Calibri" w:eastAsia="Times New Roman" w:hAnsi="Calibri" w:cs="Calibri"/>
                <w:color w:val="1E1E1E"/>
                <w:lang w:eastAsia="en-GB"/>
              </w:rPr>
              <w:t>Domestic and International travel.</w:t>
            </w:r>
          </w:p>
          <w:p w14:paraId="25617CCB" w14:textId="77777777" w:rsidR="00165B38" w:rsidRPr="00165B38" w:rsidRDefault="00165B38" w:rsidP="00165B38">
            <w:pPr>
              <w:numPr>
                <w:ilvl w:val="0"/>
                <w:numId w:val="19"/>
              </w:numPr>
              <w:ind w:left="757"/>
              <w:contextualSpacing/>
              <w:rPr>
                <w:rFonts w:ascii="Calibri" w:eastAsia="Times New Roman" w:hAnsi="Calibri" w:cs="Calibri"/>
                <w:color w:val="1E1E1E"/>
                <w:lang w:eastAsia="en-GB"/>
              </w:rPr>
            </w:pPr>
            <w:r w:rsidRPr="00165B38">
              <w:rPr>
                <w:rFonts w:ascii="Calibri" w:eastAsia="Times New Roman" w:hAnsi="Calibri" w:cs="Calibri"/>
                <w:color w:val="1E1E1E"/>
                <w:lang w:eastAsia="en-GB"/>
              </w:rPr>
              <w:t xml:space="preserve">Any other reasonable duties which may requested that falls within the scope and/or capability of the incumbent. </w:t>
            </w:r>
          </w:p>
          <w:p w14:paraId="0B9C88C8" w14:textId="2167FE9D" w:rsidR="008B0C43" w:rsidRPr="008D621C" w:rsidRDefault="008B0C43" w:rsidP="008B0C43">
            <w:pPr>
              <w:pStyle w:val="ListParagraph"/>
              <w:rPr>
                <w:rFonts w:ascii="Tahoma" w:hAnsi="Tahoma" w:cs="Tahoma"/>
                <w:color w:val="1E1E1E"/>
                <w:sz w:val="20"/>
                <w:szCs w:val="20"/>
              </w:rPr>
            </w:pPr>
          </w:p>
        </w:tc>
      </w:tr>
      <w:tr w:rsidR="00A06A92" w:rsidRPr="00973A69" w14:paraId="67C4E19E" w14:textId="77777777" w:rsidTr="00165B38">
        <w:trPr>
          <w:trHeight w:val="454"/>
        </w:trPr>
        <w:tc>
          <w:tcPr>
            <w:tcW w:w="9016" w:type="dxa"/>
            <w:shd w:val="clear" w:color="auto" w:fill="A6A6A6" w:themeFill="background1" w:themeFillShade="A6"/>
            <w:vAlign w:val="center"/>
          </w:tcPr>
          <w:p w14:paraId="6773FD2F" w14:textId="77777777" w:rsidR="00A06A92" w:rsidRPr="00973A69" w:rsidRDefault="00A06A92" w:rsidP="000E42EA">
            <w:pPr>
              <w:pStyle w:val="Header"/>
              <w:rPr>
                <w:rFonts w:ascii="Tahoma" w:hAnsi="Tahoma" w:cs="Tahoma"/>
                <w:b/>
                <w:szCs w:val="28"/>
              </w:rPr>
            </w:pPr>
            <w:r w:rsidRPr="00973A69">
              <w:rPr>
                <w:rFonts w:ascii="Tahoma" w:hAnsi="Tahoma" w:cs="Tahoma"/>
                <w:b/>
                <w:szCs w:val="28"/>
              </w:rPr>
              <w:lastRenderedPageBreak/>
              <w:t>Core Competencies</w:t>
            </w:r>
          </w:p>
        </w:tc>
      </w:tr>
      <w:tr w:rsidR="002819A1" w:rsidRPr="00973A69" w14:paraId="7D0D68B6" w14:textId="77777777" w:rsidTr="008B0C43">
        <w:tc>
          <w:tcPr>
            <w:tcW w:w="9016" w:type="dxa"/>
            <w:vAlign w:val="center"/>
          </w:tcPr>
          <w:p w14:paraId="174C543C" w14:textId="77777777" w:rsidR="00165B38" w:rsidRPr="00165B38" w:rsidRDefault="00165B38" w:rsidP="00165B38">
            <w:pPr>
              <w:rPr>
                <w:rFonts w:ascii="Calibri" w:eastAsia="Times New Roman" w:hAnsi="Calibri" w:cs="Calibri"/>
                <w:b/>
                <w:bCs/>
                <w:color w:val="404040"/>
                <w:u w:val="single"/>
                <w:lang w:val="en" w:eastAsia="en-GB"/>
              </w:rPr>
            </w:pPr>
            <w:r w:rsidRPr="00165B38">
              <w:rPr>
                <w:rFonts w:ascii="Calibri" w:eastAsia="Times New Roman" w:hAnsi="Calibri" w:cs="Calibri"/>
                <w:b/>
                <w:bCs/>
                <w:color w:val="404040"/>
                <w:u w:val="single"/>
                <w:lang w:val="en" w:eastAsia="en-GB"/>
              </w:rPr>
              <w:t>Experience &amp; Qualifications</w:t>
            </w:r>
          </w:p>
          <w:p w14:paraId="66483EC9" w14:textId="16D8C794" w:rsidR="00165B38" w:rsidRPr="006023E5" w:rsidRDefault="00165B38" w:rsidP="00165B38">
            <w:pPr>
              <w:numPr>
                <w:ilvl w:val="0"/>
                <w:numId w:val="20"/>
              </w:numPr>
              <w:ind w:left="680"/>
              <w:contextualSpacing/>
              <w:rPr>
                <w:rFonts w:ascii="Calibri" w:eastAsia="Times New Roman" w:hAnsi="Calibri" w:cs="Calibri"/>
                <w:color w:val="404040"/>
                <w:lang w:val="en" w:eastAsia="en-GB"/>
              </w:rPr>
            </w:pPr>
            <w:proofErr w:type="spellStart"/>
            <w:r w:rsidRPr="00165B38">
              <w:rPr>
                <w:rFonts w:ascii="Calibri" w:eastAsia="Times New Roman" w:hAnsi="Calibri" w:cs="Calibri"/>
                <w:color w:val="404040"/>
                <w:lang w:val="en" w:eastAsia="en-GB"/>
              </w:rPr>
              <w:t>Recognised</w:t>
            </w:r>
            <w:proofErr w:type="spellEnd"/>
            <w:r w:rsidRPr="00165B38">
              <w:rPr>
                <w:rFonts w:ascii="Calibri" w:eastAsia="Times New Roman" w:hAnsi="Calibri" w:cs="Calibri"/>
                <w:color w:val="404040"/>
                <w:lang w:val="en" w:eastAsia="en-GB"/>
              </w:rPr>
              <w:t xml:space="preserve"> Apprenticeship or degree in Aeronautical / Electrical / Mechanical / Engineering– </w:t>
            </w:r>
            <w:r w:rsidRPr="00165B38">
              <w:rPr>
                <w:rFonts w:ascii="Calibri" w:eastAsia="Times New Roman" w:hAnsi="Calibri" w:cs="Calibri"/>
                <w:b/>
                <w:bCs/>
                <w:color w:val="404040"/>
                <w:lang w:val="en" w:eastAsia="en-GB"/>
              </w:rPr>
              <w:t>Required</w:t>
            </w:r>
          </w:p>
          <w:p w14:paraId="1A1BA31E" w14:textId="422FE14C" w:rsidR="006023E5" w:rsidRPr="00165B38" w:rsidRDefault="006023E5" w:rsidP="00165B38">
            <w:pPr>
              <w:numPr>
                <w:ilvl w:val="0"/>
                <w:numId w:val="20"/>
              </w:numPr>
              <w:ind w:left="680"/>
              <w:contextualSpacing/>
              <w:rPr>
                <w:rFonts w:ascii="Calibri" w:eastAsia="Times New Roman" w:hAnsi="Calibri" w:cs="Calibri"/>
                <w:color w:val="404040"/>
                <w:lang w:val="en" w:eastAsia="en-GB"/>
              </w:rPr>
            </w:pPr>
            <w:r>
              <w:rPr>
                <w:rFonts w:ascii="Calibri" w:eastAsia="Times New Roman" w:hAnsi="Calibri" w:cs="Calibri"/>
                <w:color w:val="404040"/>
                <w:lang w:val="en" w:eastAsia="en-GB"/>
              </w:rPr>
              <w:t xml:space="preserve">Demonstrated strong multi-disciplinary team leadership in a Volatile, Uncertain, Complex and Ambiguous (VUCA) environment - </w:t>
            </w:r>
            <w:r w:rsidRPr="006023E5">
              <w:rPr>
                <w:rFonts w:ascii="Calibri" w:eastAsia="Times New Roman" w:hAnsi="Calibri" w:cs="Calibri"/>
                <w:b/>
                <w:bCs/>
                <w:color w:val="404040"/>
                <w:lang w:val="en" w:eastAsia="en-GB"/>
              </w:rPr>
              <w:t>Required</w:t>
            </w:r>
          </w:p>
          <w:p w14:paraId="01B77685" w14:textId="77777777" w:rsidR="00F40504"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Established background in </w:t>
            </w:r>
            <w:proofErr w:type="gramStart"/>
            <w:r w:rsidR="00EC4119">
              <w:rPr>
                <w:rFonts w:ascii="Calibri" w:eastAsia="Times New Roman" w:hAnsi="Calibri" w:cs="Calibri"/>
                <w:color w:val="404040"/>
                <w:lang w:val="en" w:eastAsia="en-GB"/>
              </w:rPr>
              <w:t>highly-regulated</w:t>
            </w:r>
            <w:proofErr w:type="gramEnd"/>
            <w:r w:rsidR="00EC4119">
              <w:rPr>
                <w:rFonts w:ascii="Calibri" w:eastAsia="Times New Roman" w:hAnsi="Calibri" w:cs="Calibri"/>
                <w:color w:val="404040"/>
                <w:lang w:val="en" w:eastAsia="en-GB"/>
              </w:rPr>
              <w:t xml:space="preserve"> and safety-critical </w:t>
            </w:r>
            <w:r w:rsidRPr="00165B38">
              <w:rPr>
                <w:rFonts w:ascii="Calibri" w:eastAsia="Times New Roman" w:hAnsi="Calibri" w:cs="Calibri"/>
                <w:color w:val="404040"/>
                <w:lang w:val="en" w:eastAsia="en-GB"/>
              </w:rPr>
              <w:t>Engineering</w:t>
            </w:r>
            <w:r w:rsidR="00EC4119">
              <w:rPr>
                <w:rFonts w:ascii="Calibri" w:eastAsia="Times New Roman" w:hAnsi="Calibri" w:cs="Calibri"/>
                <w:color w:val="404040"/>
                <w:lang w:val="en" w:eastAsia="en-GB"/>
              </w:rPr>
              <w:t xml:space="preserve"> (ideally Aerospace)</w:t>
            </w:r>
          </w:p>
          <w:p w14:paraId="7C9D9FAC" w14:textId="27BE3141" w:rsidR="00165B38" w:rsidRPr="00165B38" w:rsidRDefault="00F40504" w:rsidP="00165B38">
            <w:pPr>
              <w:numPr>
                <w:ilvl w:val="0"/>
                <w:numId w:val="20"/>
              </w:numPr>
              <w:ind w:left="680"/>
              <w:contextualSpacing/>
              <w:rPr>
                <w:rFonts w:ascii="Calibri" w:eastAsia="Times New Roman" w:hAnsi="Calibri" w:cs="Calibri"/>
                <w:color w:val="404040"/>
                <w:lang w:val="en" w:eastAsia="en-GB"/>
              </w:rPr>
            </w:pPr>
            <w:r>
              <w:rPr>
                <w:rFonts w:ascii="Calibri" w:eastAsia="Times New Roman" w:hAnsi="Calibri" w:cs="Calibri"/>
                <w:color w:val="404040"/>
                <w:lang w:val="en" w:eastAsia="en-GB"/>
              </w:rPr>
              <w:t>A</w:t>
            </w:r>
            <w:r w:rsidR="00165B38" w:rsidRPr="00165B38">
              <w:rPr>
                <w:rFonts w:ascii="Calibri" w:eastAsia="Times New Roman" w:hAnsi="Calibri" w:cs="Calibri"/>
                <w:color w:val="404040"/>
                <w:lang w:val="en" w:eastAsia="en-GB"/>
              </w:rPr>
              <w:t xml:space="preserve"> strong working knowledge and application of Civil Aviation Authority (CAA) regulatory requirements and the regulatory framework of the UK </w:t>
            </w:r>
            <w:proofErr w:type="spellStart"/>
            <w:r w:rsidR="00165B38" w:rsidRPr="00165B38">
              <w:rPr>
                <w:rFonts w:ascii="Calibri" w:eastAsia="Times New Roman" w:hAnsi="Calibri" w:cs="Calibri"/>
                <w:color w:val="404040"/>
                <w:lang w:val="en" w:eastAsia="en-GB"/>
              </w:rPr>
              <w:t>Defence</w:t>
            </w:r>
            <w:proofErr w:type="spellEnd"/>
            <w:r w:rsidR="00165B38" w:rsidRPr="00165B38">
              <w:rPr>
                <w:rFonts w:ascii="Calibri" w:eastAsia="Times New Roman" w:hAnsi="Calibri" w:cs="Calibri"/>
                <w:color w:val="404040"/>
                <w:lang w:val="en" w:eastAsia="en-GB"/>
              </w:rPr>
              <w:t xml:space="preserve"> (MAA) –</w:t>
            </w:r>
            <w:r>
              <w:rPr>
                <w:rFonts w:ascii="Calibri" w:eastAsia="Times New Roman" w:hAnsi="Calibri" w:cs="Calibri"/>
                <w:color w:val="404040"/>
                <w:lang w:val="en" w:eastAsia="en-GB"/>
              </w:rPr>
              <w:t xml:space="preserve"> </w:t>
            </w:r>
            <w:r w:rsidRPr="00F40504">
              <w:rPr>
                <w:rFonts w:ascii="Calibri" w:eastAsia="Times New Roman" w:hAnsi="Calibri" w:cs="Calibri"/>
                <w:b/>
                <w:bCs/>
                <w:color w:val="404040"/>
                <w:lang w:val="en" w:eastAsia="en-GB"/>
              </w:rPr>
              <w:t>Ideally</w:t>
            </w:r>
            <w:r w:rsidR="00165B38" w:rsidRPr="00165B38">
              <w:rPr>
                <w:rFonts w:ascii="Calibri" w:eastAsia="Times New Roman" w:hAnsi="Calibri" w:cs="Calibri"/>
                <w:b/>
                <w:bCs/>
                <w:color w:val="404040"/>
                <w:lang w:val="en" w:eastAsia="en-GB"/>
              </w:rPr>
              <w:t>.</w:t>
            </w:r>
          </w:p>
          <w:p w14:paraId="460396F3" w14:textId="18F974F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Experience of interfacing with a planning and task execution </w:t>
            </w:r>
            <w:proofErr w:type="spellStart"/>
            <w:r w:rsidRPr="00165B38">
              <w:rPr>
                <w:rFonts w:ascii="Calibri" w:eastAsia="Times New Roman" w:hAnsi="Calibri" w:cs="Calibri"/>
                <w:color w:val="404040"/>
                <w:lang w:val="en" w:eastAsia="en-GB"/>
              </w:rPr>
              <w:t>organisation</w:t>
            </w:r>
            <w:proofErr w:type="spellEnd"/>
            <w:r w:rsidRPr="00165B38">
              <w:rPr>
                <w:rFonts w:ascii="Calibri" w:eastAsia="Times New Roman" w:hAnsi="Calibri" w:cs="Calibri"/>
                <w:color w:val="404040"/>
                <w:lang w:val="en" w:eastAsia="en-GB"/>
              </w:rPr>
              <w:t xml:space="preserve"> to develop/deliver/monitor complex schedules, whilst interfacing with multi-disciplined teams to deliver the agreed output - </w:t>
            </w:r>
            <w:r w:rsidRPr="00165B38">
              <w:rPr>
                <w:rFonts w:ascii="Calibri" w:eastAsia="Times New Roman" w:hAnsi="Calibri" w:cs="Calibri"/>
                <w:b/>
                <w:bCs/>
                <w:color w:val="404040"/>
                <w:lang w:val="en" w:eastAsia="en-GB"/>
              </w:rPr>
              <w:t>Required</w:t>
            </w:r>
          </w:p>
          <w:p w14:paraId="12C2BFB9" w14:textId="7777777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Ability to assimilate technical information and process to bring maximum effect in a short space of time – </w:t>
            </w:r>
            <w:r w:rsidRPr="00165B38">
              <w:rPr>
                <w:rFonts w:ascii="Calibri" w:eastAsia="Times New Roman" w:hAnsi="Calibri" w:cs="Calibri"/>
                <w:b/>
                <w:bCs/>
                <w:color w:val="404040"/>
                <w:lang w:val="en" w:eastAsia="en-GB"/>
              </w:rPr>
              <w:t>Required</w:t>
            </w:r>
          </w:p>
          <w:p w14:paraId="7BA3DFED" w14:textId="1A74DD9C" w:rsidR="00165B38" w:rsidRPr="00165B38" w:rsidRDefault="00165B38" w:rsidP="00165B38">
            <w:pPr>
              <w:numPr>
                <w:ilvl w:val="0"/>
                <w:numId w:val="20"/>
              </w:numPr>
              <w:ind w:left="680"/>
              <w:contextualSpacing/>
              <w:rPr>
                <w:rFonts w:ascii="Tahoma" w:eastAsia="Times New Roman" w:hAnsi="Tahoma" w:cs="Tahoma"/>
                <w:color w:val="404040"/>
                <w:lang w:val="en" w:eastAsia="en-GB"/>
              </w:rPr>
            </w:pPr>
            <w:r w:rsidRPr="00165B38">
              <w:rPr>
                <w:rFonts w:ascii="Calibri" w:eastAsia="Times New Roman" w:hAnsi="Calibri" w:cs="Calibri"/>
                <w:color w:val="404040"/>
                <w:lang w:val="en" w:eastAsia="en-GB"/>
              </w:rPr>
              <w:t xml:space="preserve">Practical application-level knowledge of ISO 9001, ISO 45001 &amp; ISO 14001 – </w:t>
            </w:r>
            <w:r w:rsidRPr="00165B38">
              <w:rPr>
                <w:rFonts w:ascii="Calibri" w:eastAsia="Times New Roman" w:hAnsi="Calibri" w:cs="Calibri"/>
                <w:b/>
                <w:bCs/>
                <w:color w:val="404040"/>
                <w:lang w:val="en" w:eastAsia="en-GB"/>
              </w:rPr>
              <w:t>Advantageous</w:t>
            </w:r>
          </w:p>
          <w:p w14:paraId="58D26FB2" w14:textId="7777777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Ability to identify and understand technical issues, </w:t>
            </w:r>
            <w:proofErr w:type="spellStart"/>
            <w:r w:rsidRPr="00165B38">
              <w:rPr>
                <w:rFonts w:ascii="Calibri" w:eastAsia="Times New Roman" w:hAnsi="Calibri" w:cs="Calibri"/>
                <w:color w:val="404040"/>
                <w:lang w:val="en" w:eastAsia="en-GB"/>
              </w:rPr>
              <w:t>summarise</w:t>
            </w:r>
            <w:proofErr w:type="spellEnd"/>
            <w:r w:rsidRPr="00165B38">
              <w:rPr>
                <w:rFonts w:ascii="Calibri" w:eastAsia="Times New Roman" w:hAnsi="Calibri" w:cs="Calibri"/>
                <w:color w:val="404040"/>
                <w:lang w:val="en" w:eastAsia="en-GB"/>
              </w:rPr>
              <w:t xml:space="preserve"> key concerns and develop action plans addressing identified problem areas – </w:t>
            </w:r>
            <w:r w:rsidRPr="00165B38">
              <w:rPr>
                <w:rFonts w:ascii="Calibri" w:eastAsia="Times New Roman" w:hAnsi="Calibri" w:cs="Calibri"/>
                <w:b/>
                <w:bCs/>
                <w:color w:val="404040"/>
                <w:lang w:val="en" w:eastAsia="en-GB"/>
              </w:rPr>
              <w:t>Advantageous</w:t>
            </w:r>
          </w:p>
          <w:p w14:paraId="58E46029" w14:textId="1B76FEEE" w:rsidR="00165B38" w:rsidRPr="00165B38" w:rsidRDefault="00165B38" w:rsidP="00165B38">
            <w:pPr>
              <w:numPr>
                <w:ilvl w:val="0"/>
                <w:numId w:val="20"/>
              </w:numPr>
              <w:ind w:left="70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Project management experience –</w:t>
            </w:r>
            <w:r w:rsidRPr="00165B38">
              <w:rPr>
                <w:rFonts w:ascii="Calibri" w:eastAsia="Times New Roman" w:hAnsi="Calibri" w:cs="Calibri"/>
                <w:b/>
                <w:bCs/>
                <w:color w:val="404040"/>
                <w:lang w:val="en" w:eastAsia="en-GB"/>
              </w:rPr>
              <w:t xml:space="preserve"> Advantageous</w:t>
            </w:r>
          </w:p>
          <w:p w14:paraId="43D355C6" w14:textId="77777777" w:rsidR="00165B38" w:rsidRPr="00165B38" w:rsidRDefault="00165B38" w:rsidP="00165B38">
            <w:pPr>
              <w:numPr>
                <w:ilvl w:val="0"/>
                <w:numId w:val="20"/>
              </w:numPr>
              <w:ind w:left="700"/>
              <w:contextualSpacing/>
              <w:rPr>
                <w:rFonts w:ascii="Calibri" w:eastAsia="Times New Roman" w:hAnsi="Calibri" w:cs="Calibri"/>
                <w:b/>
                <w:bCs/>
                <w:color w:val="404040"/>
                <w:lang w:val="en" w:eastAsia="en-GB"/>
              </w:rPr>
            </w:pPr>
            <w:r w:rsidRPr="00165B38">
              <w:rPr>
                <w:rFonts w:ascii="Calibri" w:eastAsia="Times New Roman" w:hAnsi="Calibri" w:cs="Calibri"/>
                <w:color w:val="404040"/>
                <w:lang w:val="en" w:eastAsia="en-GB"/>
              </w:rPr>
              <w:t xml:space="preserve">Able to hold an SC-Level security clearance – </w:t>
            </w:r>
            <w:r w:rsidRPr="00165B38">
              <w:rPr>
                <w:rFonts w:ascii="Calibri" w:eastAsia="Times New Roman" w:hAnsi="Calibri" w:cs="Calibri"/>
                <w:b/>
                <w:bCs/>
                <w:color w:val="404040"/>
                <w:lang w:val="en" w:eastAsia="en-GB"/>
              </w:rPr>
              <w:t xml:space="preserve">Required </w:t>
            </w:r>
          </w:p>
          <w:p w14:paraId="1D8E583C" w14:textId="77777777" w:rsidR="00165B38" w:rsidRDefault="00165B38" w:rsidP="00165B38">
            <w:pPr>
              <w:ind w:left="680"/>
              <w:contextualSpacing/>
              <w:rPr>
                <w:rFonts w:ascii="Calibri" w:eastAsia="Times New Roman" w:hAnsi="Calibri" w:cs="Calibri"/>
                <w:color w:val="404040"/>
                <w:lang w:val="en" w:eastAsia="en-GB"/>
              </w:rPr>
            </w:pPr>
          </w:p>
          <w:p w14:paraId="00A5F2E1" w14:textId="77777777" w:rsidR="00165B38" w:rsidRDefault="00165B38" w:rsidP="00165B38">
            <w:pPr>
              <w:ind w:left="680"/>
              <w:contextualSpacing/>
              <w:rPr>
                <w:rFonts w:ascii="Calibri" w:eastAsia="Times New Roman" w:hAnsi="Calibri" w:cs="Calibri"/>
                <w:color w:val="404040"/>
                <w:lang w:val="en" w:eastAsia="en-GB"/>
              </w:rPr>
            </w:pPr>
          </w:p>
          <w:p w14:paraId="415574E2" w14:textId="77777777" w:rsidR="00165B38" w:rsidRDefault="00165B38" w:rsidP="00165B38">
            <w:pPr>
              <w:ind w:left="680"/>
              <w:contextualSpacing/>
              <w:rPr>
                <w:rFonts w:ascii="Calibri" w:eastAsia="Times New Roman" w:hAnsi="Calibri" w:cs="Calibri"/>
                <w:color w:val="404040"/>
                <w:lang w:val="en" w:eastAsia="en-GB"/>
              </w:rPr>
            </w:pPr>
          </w:p>
          <w:p w14:paraId="72C330E9" w14:textId="77777777" w:rsidR="00165B38" w:rsidRDefault="00165B38" w:rsidP="00165B38">
            <w:pPr>
              <w:ind w:left="680"/>
              <w:contextualSpacing/>
              <w:rPr>
                <w:rFonts w:ascii="Calibri" w:eastAsia="Times New Roman" w:hAnsi="Calibri" w:cs="Calibri"/>
                <w:color w:val="404040"/>
                <w:lang w:val="en" w:eastAsia="en-GB"/>
              </w:rPr>
            </w:pPr>
          </w:p>
          <w:p w14:paraId="78DBBE53" w14:textId="77777777" w:rsidR="00165B38" w:rsidRPr="00165B38" w:rsidRDefault="00165B38" w:rsidP="00165B38">
            <w:pPr>
              <w:rPr>
                <w:rFonts w:ascii="Calibri" w:eastAsia="Times New Roman" w:hAnsi="Calibri" w:cs="Calibri"/>
                <w:b/>
                <w:bCs/>
                <w:color w:val="404040"/>
                <w:u w:val="single"/>
                <w:lang w:val="en" w:eastAsia="en-GB"/>
              </w:rPr>
            </w:pPr>
            <w:r w:rsidRPr="00165B38">
              <w:rPr>
                <w:rFonts w:ascii="Calibri" w:eastAsia="Times New Roman" w:hAnsi="Calibri" w:cs="Calibri"/>
                <w:b/>
                <w:bCs/>
                <w:color w:val="404040"/>
                <w:u w:val="single"/>
                <w:lang w:val="en" w:eastAsia="en-GB"/>
              </w:rPr>
              <w:t>Personal Skill &amp; Attributes</w:t>
            </w:r>
          </w:p>
          <w:p w14:paraId="21216FC3" w14:textId="77777777" w:rsid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Strong interpersonal skills, able to build strong working relationships with customers and peers.</w:t>
            </w:r>
          </w:p>
          <w:p w14:paraId="59884417" w14:textId="1DD1E3FC" w:rsidR="00711AFB" w:rsidRPr="00165B38" w:rsidRDefault="009B1C4F" w:rsidP="00165B38">
            <w:pPr>
              <w:numPr>
                <w:ilvl w:val="0"/>
                <w:numId w:val="20"/>
              </w:numPr>
              <w:ind w:left="680"/>
              <w:contextualSpacing/>
              <w:rPr>
                <w:rFonts w:ascii="Calibri" w:eastAsia="Times New Roman" w:hAnsi="Calibri" w:cs="Calibri"/>
                <w:color w:val="404040"/>
                <w:lang w:val="en" w:eastAsia="en-GB"/>
              </w:rPr>
            </w:pPr>
            <w:r>
              <w:rPr>
                <w:rFonts w:ascii="Calibri" w:eastAsia="Times New Roman" w:hAnsi="Calibri" w:cs="Calibri"/>
                <w:color w:val="404040"/>
                <w:lang w:val="en" w:eastAsia="en-GB"/>
              </w:rPr>
              <w:t>Thrives and c</w:t>
            </w:r>
            <w:r w:rsidR="00711AFB">
              <w:rPr>
                <w:rFonts w:ascii="Calibri" w:eastAsia="Times New Roman" w:hAnsi="Calibri" w:cs="Calibri"/>
                <w:color w:val="404040"/>
                <w:lang w:val="en" w:eastAsia="en-GB"/>
              </w:rPr>
              <w:t>onfident in a fast-paced dynamic environment</w:t>
            </w:r>
            <w:r w:rsidR="00A21419">
              <w:rPr>
                <w:rFonts w:ascii="Calibri" w:eastAsia="Times New Roman" w:hAnsi="Calibri" w:cs="Calibri"/>
                <w:color w:val="404040"/>
                <w:lang w:val="en" w:eastAsia="en-GB"/>
              </w:rPr>
              <w:t xml:space="preserve"> with multiple stakeholders in a safety critical environment</w:t>
            </w:r>
          </w:p>
          <w:p w14:paraId="1AC95E30" w14:textId="7777777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Problem solver, capable of working with a diverse team in the delivery of innovative solutions.</w:t>
            </w:r>
          </w:p>
          <w:p w14:paraId="3A2F22D1" w14:textId="471D50AE"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Able to develop and deliver effective presentations</w:t>
            </w:r>
            <w:r w:rsidR="00D54F2A">
              <w:rPr>
                <w:rFonts w:ascii="Calibri" w:eastAsia="Times New Roman" w:hAnsi="Calibri" w:cs="Calibri"/>
                <w:color w:val="404040"/>
                <w:lang w:val="en" w:eastAsia="en-GB"/>
              </w:rPr>
              <w:t xml:space="preserve"> which are data-driven and provide actionable outcomes.</w:t>
            </w:r>
          </w:p>
          <w:p w14:paraId="3D577B6D" w14:textId="7777777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Excellent Communication – written and verbal at a local level and with the customer.</w:t>
            </w:r>
          </w:p>
          <w:p w14:paraId="6026D3B8" w14:textId="7777777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Commercially astute.</w:t>
            </w:r>
          </w:p>
          <w:p w14:paraId="4C9532DA" w14:textId="446A9587"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 xml:space="preserve">Always maintain compliance against all applicable Aviation Regulatory and International Standard requirements </w:t>
            </w:r>
          </w:p>
          <w:p w14:paraId="536646CB" w14:textId="72636F97" w:rsidR="00165B38" w:rsidRPr="009B1C4F" w:rsidRDefault="00165B38" w:rsidP="009B1C4F">
            <w:pPr>
              <w:numPr>
                <w:ilvl w:val="0"/>
                <w:numId w:val="20"/>
              </w:numPr>
              <w:ind w:left="680"/>
              <w:contextualSpacing/>
              <w:rPr>
                <w:rFonts w:ascii="Calibri" w:eastAsia="Times New Roman" w:hAnsi="Calibri" w:cs="Calibri"/>
                <w:color w:val="404040"/>
                <w:lang w:val="en" w:eastAsia="en-GB"/>
              </w:rPr>
            </w:pPr>
            <w:r w:rsidRPr="00165B38">
              <w:rPr>
                <w:rFonts w:ascii="Calibri" w:eastAsia="Times New Roman" w:hAnsi="Calibri" w:cs="Calibri"/>
                <w:color w:val="404040"/>
                <w:lang w:val="en" w:eastAsia="en-GB"/>
              </w:rPr>
              <w:t>Integrity and honesty.</w:t>
            </w:r>
          </w:p>
          <w:p w14:paraId="15B6AA5F" w14:textId="23F31524" w:rsidR="00165B38" w:rsidRPr="00165B38" w:rsidRDefault="00165B38" w:rsidP="00165B38">
            <w:pPr>
              <w:numPr>
                <w:ilvl w:val="0"/>
                <w:numId w:val="20"/>
              </w:numPr>
              <w:ind w:left="680"/>
              <w:contextualSpacing/>
              <w:rPr>
                <w:rFonts w:ascii="Calibri" w:eastAsia="Times New Roman" w:hAnsi="Calibri" w:cs="Calibri"/>
                <w:color w:val="404040"/>
                <w:lang w:val="en" w:eastAsia="en-GB"/>
              </w:rPr>
            </w:pPr>
            <w:proofErr w:type="gramStart"/>
            <w:r w:rsidRPr="00165B38">
              <w:rPr>
                <w:rFonts w:ascii="Calibri" w:eastAsia="Times New Roman" w:hAnsi="Calibri" w:cs="Calibri"/>
                <w:color w:val="404040"/>
                <w:lang w:val="en" w:eastAsia="en-GB"/>
              </w:rPr>
              <w:t>Courage;</w:t>
            </w:r>
            <w:proofErr w:type="gramEnd"/>
            <w:r w:rsidRPr="00165B38">
              <w:rPr>
                <w:rFonts w:ascii="Calibri" w:eastAsia="Times New Roman" w:hAnsi="Calibri" w:cs="Calibri"/>
                <w:color w:val="404040"/>
                <w:lang w:val="en" w:eastAsia="en-GB"/>
              </w:rPr>
              <w:t xml:space="preserve"> </w:t>
            </w:r>
            <w:r w:rsidR="00D90D09">
              <w:rPr>
                <w:rFonts w:ascii="Calibri" w:eastAsia="Times New Roman" w:hAnsi="Calibri" w:cs="Calibri"/>
                <w:color w:val="404040"/>
                <w:lang w:val="en" w:eastAsia="en-GB"/>
              </w:rPr>
              <w:t xml:space="preserve">comfortable </w:t>
            </w:r>
            <w:r w:rsidRPr="00165B38">
              <w:rPr>
                <w:rFonts w:ascii="Calibri" w:eastAsia="Times New Roman" w:hAnsi="Calibri" w:cs="Calibri"/>
                <w:color w:val="404040"/>
                <w:lang w:val="en" w:eastAsia="en-GB"/>
              </w:rPr>
              <w:t>to make difficult decisions</w:t>
            </w:r>
            <w:r w:rsidR="00D90D09">
              <w:rPr>
                <w:rFonts w:ascii="Calibri" w:eastAsia="Times New Roman" w:hAnsi="Calibri" w:cs="Calibri"/>
                <w:color w:val="404040"/>
                <w:lang w:val="en" w:eastAsia="en-GB"/>
              </w:rPr>
              <w:t xml:space="preserve"> when full datasets are not available</w:t>
            </w:r>
            <w:r w:rsidR="00036C3E">
              <w:rPr>
                <w:rFonts w:ascii="Calibri" w:eastAsia="Times New Roman" w:hAnsi="Calibri" w:cs="Calibri"/>
                <w:color w:val="404040"/>
                <w:lang w:val="en" w:eastAsia="en-GB"/>
              </w:rPr>
              <w:t>, with the ability to change solution as required.</w:t>
            </w:r>
          </w:p>
          <w:p w14:paraId="33F26B19" w14:textId="77777777" w:rsidR="00165B38" w:rsidRPr="00165B38" w:rsidRDefault="00165B38" w:rsidP="00165B38">
            <w:pPr>
              <w:numPr>
                <w:ilvl w:val="0"/>
                <w:numId w:val="20"/>
              </w:numPr>
              <w:ind w:left="680"/>
              <w:contextualSpacing/>
              <w:rPr>
                <w:rFonts w:ascii="Arial" w:eastAsia="Times New Roman" w:hAnsi="Arial" w:cs="Tahoma"/>
                <w:color w:val="404040"/>
                <w:sz w:val="24"/>
                <w:lang w:val="en" w:eastAsia="en-GB"/>
              </w:rPr>
            </w:pPr>
            <w:r w:rsidRPr="00165B38">
              <w:rPr>
                <w:rFonts w:ascii="Calibri" w:eastAsia="Times New Roman" w:hAnsi="Calibri" w:cs="Calibri"/>
                <w:color w:val="404040"/>
                <w:lang w:val="en" w:eastAsia="en-GB"/>
              </w:rPr>
              <w:t>Experience of effective management of business processes using Evaluation techniques.</w:t>
            </w:r>
          </w:p>
          <w:p w14:paraId="7FCD2B91" w14:textId="4B87BCD7" w:rsidR="002944E2" w:rsidRPr="00165B38" w:rsidRDefault="002944E2" w:rsidP="002944E2">
            <w:pPr>
              <w:pStyle w:val="ListParagraph"/>
              <w:ind w:left="783"/>
              <w:rPr>
                <w:rFonts w:ascii="Tahoma" w:hAnsi="Tahoma" w:cs="Tahoma"/>
                <w:color w:val="1E1E1E"/>
                <w:sz w:val="20"/>
                <w:szCs w:val="20"/>
                <w:lang w:val="en"/>
              </w:rPr>
            </w:pPr>
          </w:p>
        </w:tc>
      </w:tr>
    </w:tbl>
    <w:p w14:paraId="067704E2" w14:textId="77777777" w:rsidR="00A06A92" w:rsidRPr="00973A69" w:rsidRDefault="00A06A92" w:rsidP="001562CA">
      <w:pPr>
        <w:pStyle w:val="NoSpacing"/>
        <w:rPr>
          <w:rFonts w:ascii="Tahoma" w:hAnsi="Tahoma" w:cs="Tahoma"/>
        </w:rPr>
      </w:pPr>
    </w:p>
    <w:tbl>
      <w:tblPr>
        <w:tblStyle w:val="TableGrid"/>
        <w:tblW w:w="0" w:type="auto"/>
        <w:tblInd w:w="-5" w:type="dxa"/>
        <w:tblLook w:val="04A0" w:firstRow="1" w:lastRow="0" w:firstColumn="1" w:lastColumn="0" w:noHBand="0" w:noVBand="1"/>
      </w:tblPr>
      <w:tblGrid>
        <w:gridCol w:w="1271"/>
        <w:gridCol w:w="3827"/>
        <w:gridCol w:w="851"/>
        <w:gridCol w:w="3067"/>
      </w:tblGrid>
      <w:tr w:rsidR="001562CA" w:rsidRPr="00973A69" w14:paraId="516A16E7" w14:textId="77777777" w:rsidTr="00165B38">
        <w:trPr>
          <w:trHeight w:val="454"/>
        </w:trPr>
        <w:tc>
          <w:tcPr>
            <w:tcW w:w="9016" w:type="dxa"/>
            <w:gridSpan w:val="4"/>
            <w:tcBorders>
              <w:bottom w:val="single" w:sz="4" w:space="0" w:color="auto"/>
            </w:tcBorders>
            <w:shd w:val="clear" w:color="auto" w:fill="A6A6A6" w:themeFill="background1" w:themeFillShade="A6"/>
            <w:vAlign w:val="center"/>
          </w:tcPr>
          <w:p w14:paraId="1F0301D5" w14:textId="77777777" w:rsidR="001562CA" w:rsidRPr="00973A69" w:rsidRDefault="004147C0" w:rsidP="000E42EA">
            <w:pPr>
              <w:pStyle w:val="Header"/>
              <w:rPr>
                <w:rFonts w:ascii="Tahoma" w:hAnsi="Tahoma" w:cs="Tahoma"/>
                <w:b/>
                <w:szCs w:val="28"/>
              </w:rPr>
            </w:pPr>
            <w:r w:rsidRPr="00973A69">
              <w:rPr>
                <w:rFonts w:ascii="Tahoma" w:hAnsi="Tahoma" w:cs="Tahoma"/>
                <w:b/>
                <w:szCs w:val="28"/>
              </w:rPr>
              <w:t>Key Measures</w:t>
            </w:r>
          </w:p>
        </w:tc>
      </w:tr>
      <w:tr w:rsidR="002819A1" w:rsidRPr="00973A69" w14:paraId="2F7128CC" w14:textId="77777777" w:rsidTr="00DC1F41">
        <w:tc>
          <w:tcPr>
            <w:tcW w:w="9016" w:type="dxa"/>
            <w:gridSpan w:val="4"/>
            <w:tcBorders>
              <w:top w:val="single" w:sz="4" w:space="0" w:color="auto"/>
              <w:left w:val="single" w:sz="4" w:space="0" w:color="auto"/>
              <w:bottom w:val="single" w:sz="4" w:space="0" w:color="auto"/>
              <w:right w:val="single" w:sz="4" w:space="0" w:color="auto"/>
            </w:tcBorders>
            <w:vAlign w:val="center"/>
          </w:tcPr>
          <w:p w14:paraId="4C27A3F9" w14:textId="77777777" w:rsidR="002819A1" w:rsidRPr="00973A69" w:rsidRDefault="002819A1" w:rsidP="002819A1">
            <w:pPr>
              <w:rPr>
                <w:rFonts w:ascii="Tahoma" w:hAnsi="Tahoma" w:cs="Tahoma"/>
                <w:color w:val="1E1E1E"/>
                <w:sz w:val="20"/>
                <w:szCs w:val="20"/>
                <w:u w:val="single"/>
              </w:rPr>
            </w:pPr>
          </w:p>
          <w:p w14:paraId="078DB428" w14:textId="77777777" w:rsidR="00165B38" w:rsidRDefault="00165B38" w:rsidP="00165B38">
            <w:pPr>
              <w:numPr>
                <w:ilvl w:val="0"/>
                <w:numId w:val="21"/>
              </w:numPr>
              <w:contextualSpacing/>
              <w:rPr>
                <w:rFonts w:ascii="Calibri" w:eastAsia="Times New Roman" w:hAnsi="Calibri" w:cs="Calibri"/>
                <w:lang w:val="en-US" w:eastAsia="en-GB"/>
              </w:rPr>
            </w:pPr>
            <w:r w:rsidRPr="00165B38">
              <w:rPr>
                <w:rFonts w:ascii="Calibri" w:eastAsia="Times New Roman" w:hAnsi="Calibri" w:cs="Calibri"/>
                <w:lang w:val="en-US" w:eastAsia="en-GB"/>
              </w:rPr>
              <w:t>Achievement of Contract applicable Key Performance Indicators (KPI)</w:t>
            </w:r>
          </w:p>
          <w:p w14:paraId="472DE75F" w14:textId="78C6BED4" w:rsidR="00F1737F" w:rsidRPr="00165B38" w:rsidRDefault="00F1737F" w:rsidP="00165B38">
            <w:pPr>
              <w:numPr>
                <w:ilvl w:val="0"/>
                <w:numId w:val="21"/>
              </w:numPr>
              <w:contextualSpacing/>
              <w:rPr>
                <w:rFonts w:ascii="Calibri" w:eastAsia="Times New Roman" w:hAnsi="Calibri" w:cs="Calibri"/>
                <w:lang w:val="en-US" w:eastAsia="en-GB"/>
              </w:rPr>
            </w:pPr>
            <w:r>
              <w:rPr>
                <w:rFonts w:ascii="Calibri" w:eastAsia="Times New Roman" w:hAnsi="Calibri" w:cs="Calibri"/>
                <w:lang w:val="en-US" w:eastAsia="en-GB"/>
              </w:rPr>
              <w:t xml:space="preserve">Delivery of </w:t>
            </w:r>
            <w:r w:rsidR="00B36230">
              <w:rPr>
                <w:rFonts w:ascii="Calibri" w:eastAsia="Times New Roman" w:hAnsi="Calibri" w:cs="Calibri"/>
                <w:lang w:val="en-US" w:eastAsia="en-GB"/>
              </w:rPr>
              <w:t xml:space="preserve">internal </w:t>
            </w:r>
            <w:r>
              <w:rPr>
                <w:rFonts w:ascii="Calibri" w:eastAsia="Times New Roman" w:hAnsi="Calibri" w:cs="Calibri"/>
                <w:lang w:val="en-US" w:eastAsia="en-GB"/>
              </w:rPr>
              <w:t>key metrics</w:t>
            </w:r>
            <w:r w:rsidR="00B36230">
              <w:rPr>
                <w:rFonts w:ascii="Calibri" w:eastAsia="Times New Roman" w:hAnsi="Calibri" w:cs="Calibri"/>
                <w:lang w:val="en-US" w:eastAsia="en-GB"/>
              </w:rPr>
              <w:t xml:space="preserve"> as defined and required by the </w:t>
            </w:r>
            <w:proofErr w:type="spellStart"/>
            <w:r w:rsidR="00B36230">
              <w:rPr>
                <w:rFonts w:ascii="Calibri" w:eastAsia="Times New Roman" w:hAnsi="Calibri" w:cs="Calibri"/>
                <w:lang w:val="en-US" w:eastAsia="en-GB"/>
              </w:rPr>
              <w:t>Programmes</w:t>
            </w:r>
            <w:proofErr w:type="spellEnd"/>
            <w:r w:rsidR="00B36230">
              <w:rPr>
                <w:rFonts w:ascii="Calibri" w:eastAsia="Times New Roman" w:hAnsi="Calibri" w:cs="Calibri"/>
                <w:lang w:val="en-US" w:eastAsia="en-GB"/>
              </w:rPr>
              <w:t xml:space="preserve"> and Operation</w:t>
            </w:r>
          </w:p>
          <w:p w14:paraId="500A1FC2" w14:textId="41B0B5AF" w:rsidR="002944E2" w:rsidRPr="00165B38" w:rsidRDefault="00165B38" w:rsidP="006A41A3">
            <w:pPr>
              <w:numPr>
                <w:ilvl w:val="0"/>
                <w:numId w:val="21"/>
              </w:numPr>
              <w:contextualSpacing/>
              <w:rPr>
                <w:rFonts w:ascii="Tahoma" w:hAnsi="Tahoma" w:cs="Tahoma"/>
                <w:color w:val="1E1E1E"/>
                <w:u w:val="single"/>
              </w:rPr>
            </w:pPr>
            <w:r w:rsidRPr="006A41A3">
              <w:rPr>
                <w:rFonts w:ascii="Calibri" w:eastAsia="Times New Roman" w:hAnsi="Calibri" w:cs="Calibri"/>
                <w:lang w:val="en-US" w:eastAsia="en-GB"/>
              </w:rPr>
              <w:t>Delivery of key contracted data and document</w:t>
            </w:r>
            <w:r w:rsidR="006A41A3" w:rsidRPr="006A41A3">
              <w:rPr>
                <w:rFonts w:ascii="Calibri" w:eastAsia="Times New Roman" w:hAnsi="Calibri" w:cs="Calibri"/>
                <w:lang w:val="en-US" w:eastAsia="en-GB"/>
              </w:rPr>
              <w:t>s</w:t>
            </w:r>
            <w:r w:rsidRPr="006A41A3">
              <w:rPr>
                <w:rFonts w:ascii="Calibri" w:eastAsia="Times New Roman" w:hAnsi="Calibri" w:cs="Calibri"/>
                <w:lang w:val="en-US" w:eastAsia="en-GB"/>
              </w:rPr>
              <w:t xml:space="preserve"> in accordance with Contracted Document Delivery List (CDRL) </w:t>
            </w:r>
            <w:r w:rsidR="006A41A3" w:rsidRPr="006A41A3">
              <w:rPr>
                <w:rFonts w:ascii="Calibri" w:eastAsia="Times New Roman" w:hAnsi="Calibri" w:cs="Calibri"/>
                <w:lang w:val="en-US" w:eastAsia="en-GB"/>
              </w:rPr>
              <w:t>as required</w:t>
            </w:r>
            <w:r w:rsidR="006A41A3">
              <w:rPr>
                <w:rFonts w:ascii="Tahoma" w:hAnsi="Tahoma" w:cs="Tahoma"/>
                <w:lang w:val="en-US"/>
              </w:rPr>
              <w:t xml:space="preserve"> </w:t>
            </w:r>
          </w:p>
        </w:tc>
      </w:tr>
      <w:tr w:rsidR="005E516B" w:rsidRPr="00973A69" w14:paraId="0E2283FD" w14:textId="77777777" w:rsidTr="00DC1F41">
        <w:tc>
          <w:tcPr>
            <w:tcW w:w="9016" w:type="dxa"/>
            <w:gridSpan w:val="4"/>
            <w:tcBorders>
              <w:top w:val="single" w:sz="4" w:space="0" w:color="auto"/>
              <w:left w:val="nil"/>
              <w:bottom w:val="nil"/>
              <w:right w:val="nil"/>
            </w:tcBorders>
            <w:vAlign w:val="center"/>
          </w:tcPr>
          <w:p w14:paraId="2336F35A" w14:textId="5F41E714" w:rsidR="002944E2" w:rsidRPr="00973A69" w:rsidRDefault="002944E2" w:rsidP="00F24516">
            <w:pPr>
              <w:rPr>
                <w:rFonts w:ascii="Tahoma" w:hAnsi="Tahoma" w:cs="Tahoma"/>
                <w:color w:val="1E1E1E"/>
                <w:sz w:val="20"/>
                <w:szCs w:val="20"/>
                <w:u w:val="single"/>
              </w:rPr>
            </w:pPr>
          </w:p>
        </w:tc>
      </w:tr>
      <w:tr w:rsidR="007C2AE0" w:rsidRPr="00973A69" w14:paraId="4AFF49BD" w14:textId="77777777" w:rsidTr="005E51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271" w:type="dxa"/>
            <w:vAlign w:val="center"/>
          </w:tcPr>
          <w:p w14:paraId="5D2E2E8A"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Job Holder:</w:t>
            </w:r>
          </w:p>
        </w:tc>
        <w:tc>
          <w:tcPr>
            <w:tcW w:w="3827" w:type="dxa"/>
            <w:vAlign w:val="center"/>
          </w:tcPr>
          <w:p w14:paraId="4FBC55B9"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_________________________________</w:t>
            </w:r>
          </w:p>
        </w:tc>
        <w:tc>
          <w:tcPr>
            <w:tcW w:w="851" w:type="dxa"/>
            <w:vAlign w:val="center"/>
          </w:tcPr>
          <w:p w14:paraId="07318223"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Sign:</w:t>
            </w:r>
          </w:p>
        </w:tc>
        <w:tc>
          <w:tcPr>
            <w:tcW w:w="3067" w:type="dxa"/>
            <w:vAlign w:val="center"/>
          </w:tcPr>
          <w:p w14:paraId="115A29B9"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__________________________</w:t>
            </w:r>
          </w:p>
        </w:tc>
      </w:tr>
      <w:tr w:rsidR="007C2AE0" w:rsidRPr="00973A69" w14:paraId="455723C0" w14:textId="77777777" w:rsidTr="005E51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271" w:type="dxa"/>
            <w:vAlign w:val="center"/>
          </w:tcPr>
          <w:p w14:paraId="3EBCC5F4"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Manager:</w:t>
            </w:r>
          </w:p>
        </w:tc>
        <w:tc>
          <w:tcPr>
            <w:tcW w:w="3827" w:type="dxa"/>
            <w:vAlign w:val="center"/>
          </w:tcPr>
          <w:p w14:paraId="6B0309DD"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_________________________________</w:t>
            </w:r>
          </w:p>
        </w:tc>
        <w:tc>
          <w:tcPr>
            <w:tcW w:w="851" w:type="dxa"/>
            <w:vAlign w:val="center"/>
          </w:tcPr>
          <w:p w14:paraId="6E9E5686"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Sign:</w:t>
            </w:r>
          </w:p>
        </w:tc>
        <w:tc>
          <w:tcPr>
            <w:tcW w:w="3067" w:type="dxa"/>
            <w:vAlign w:val="center"/>
          </w:tcPr>
          <w:p w14:paraId="4B6A3A9B"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__________________________</w:t>
            </w:r>
          </w:p>
        </w:tc>
      </w:tr>
      <w:tr w:rsidR="007C2AE0" w:rsidRPr="00973A69" w14:paraId="1619D12E" w14:textId="77777777" w:rsidTr="005E51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271" w:type="dxa"/>
            <w:vAlign w:val="center"/>
          </w:tcPr>
          <w:p w14:paraId="3B03559E"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Date:</w:t>
            </w:r>
          </w:p>
        </w:tc>
        <w:tc>
          <w:tcPr>
            <w:tcW w:w="3827" w:type="dxa"/>
            <w:vAlign w:val="center"/>
          </w:tcPr>
          <w:p w14:paraId="09F85236" w14:textId="77777777" w:rsidR="007C2AE0" w:rsidRPr="00973A69" w:rsidRDefault="007C2AE0" w:rsidP="007C2AE0">
            <w:pPr>
              <w:rPr>
                <w:rFonts w:ascii="Tahoma" w:hAnsi="Tahoma" w:cs="Tahoma"/>
                <w:color w:val="1E1E1E"/>
                <w:sz w:val="20"/>
                <w:szCs w:val="20"/>
                <w:u w:val="single"/>
              </w:rPr>
            </w:pPr>
            <w:r w:rsidRPr="00973A69">
              <w:rPr>
                <w:rFonts w:ascii="Tahoma" w:hAnsi="Tahoma" w:cs="Tahoma"/>
                <w:color w:val="1E1E1E"/>
                <w:sz w:val="20"/>
                <w:szCs w:val="20"/>
                <w:u w:val="single"/>
              </w:rPr>
              <w:t>_________________________________</w:t>
            </w:r>
          </w:p>
        </w:tc>
        <w:tc>
          <w:tcPr>
            <w:tcW w:w="851" w:type="dxa"/>
            <w:vAlign w:val="center"/>
          </w:tcPr>
          <w:p w14:paraId="1676A3DB" w14:textId="77777777" w:rsidR="007C2AE0" w:rsidRPr="00973A69" w:rsidRDefault="007C2AE0" w:rsidP="007C2AE0">
            <w:pPr>
              <w:rPr>
                <w:rFonts w:ascii="Tahoma" w:hAnsi="Tahoma" w:cs="Tahoma"/>
                <w:color w:val="1E1E1E"/>
                <w:sz w:val="20"/>
                <w:szCs w:val="20"/>
                <w:u w:val="single"/>
              </w:rPr>
            </w:pPr>
          </w:p>
        </w:tc>
        <w:tc>
          <w:tcPr>
            <w:tcW w:w="3067" w:type="dxa"/>
            <w:vAlign w:val="center"/>
          </w:tcPr>
          <w:p w14:paraId="6078D1E9" w14:textId="77777777" w:rsidR="007C2AE0" w:rsidRPr="00973A69" w:rsidRDefault="007C2AE0" w:rsidP="007C2AE0">
            <w:pPr>
              <w:rPr>
                <w:rFonts w:ascii="Tahoma" w:hAnsi="Tahoma" w:cs="Tahoma"/>
                <w:color w:val="1E1E1E"/>
                <w:sz w:val="20"/>
                <w:szCs w:val="20"/>
                <w:u w:val="single"/>
              </w:rPr>
            </w:pPr>
          </w:p>
        </w:tc>
      </w:tr>
    </w:tbl>
    <w:p w14:paraId="777A9D03" w14:textId="77777777" w:rsidR="001562CA" w:rsidRDefault="001562CA" w:rsidP="003741BF">
      <w:pPr>
        <w:rPr>
          <w:rFonts w:ascii="Tahoma" w:hAnsi="Tahoma" w:cs="Tahoma"/>
        </w:rPr>
      </w:pPr>
    </w:p>
    <w:p w14:paraId="2D8AF897" w14:textId="2D88271C" w:rsidR="00165B38" w:rsidRPr="00A031F3" w:rsidRDefault="00165B38" w:rsidP="00A031F3">
      <w:pPr>
        <w:tabs>
          <w:tab w:val="left" w:pos="1260"/>
          <w:tab w:val="right" w:pos="9356"/>
        </w:tabs>
        <w:spacing w:after="0" w:line="240" w:lineRule="auto"/>
        <w:rPr>
          <w:rFonts w:ascii="Tahoma" w:eastAsia="Times New Roman" w:hAnsi="Tahoma" w:cs="Tahoma"/>
          <w:u w:val="single"/>
          <w:lang w:eastAsia="en-GB"/>
        </w:rPr>
      </w:pPr>
    </w:p>
    <w:p w14:paraId="6DEF86F5" w14:textId="6B24A4B1" w:rsidR="00165B38" w:rsidRPr="00973A69" w:rsidRDefault="00165B38" w:rsidP="003741BF">
      <w:pPr>
        <w:rPr>
          <w:rFonts w:ascii="Tahoma" w:hAnsi="Tahoma" w:cs="Tahoma"/>
        </w:rPr>
      </w:pPr>
    </w:p>
    <w:sectPr w:rsidR="00165B38" w:rsidRPr="00973A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1704" w14:textId="77777777" w:rsidR="00B01498" w:rsidRDefault="00B01498" w:rsidP="003741BF">
      <w:pPr>
        <w:spacing w:after="0" w:line="240" w:lineRule="auto"/>
      </w:pPr>
      <w:r>
        <w:separator/>
      </w:r>
    </w:p>
  </w:endnote>
  <w:endnote w:type="continuationSeparator" w:id="0">
    <w:p w14:paraId="360D255E" w14:textId="77777777" w:rsidR="00B01498" w:rsidRDefault="00B01498" w:rsidP="0037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BA0F" w14:textId="6449BF57" w:rsidR="00C042DA" w:rsidRDefault="00C042DA">
    <w:pPr>
      <w:pStyle w:val="Footer"/>
    </w:pPr>
    <w:r>
      <w:rPr>
        <w:noProof/>
      </w:rPr>
      <mc:AlternateContent>
        <mc:Choice Requires="wps">
          <w:drawing>
            <wp:anchor distT="0" distB="0" distL="0" distR="0" simplePos="0" relativeHeight="251666432" behindDoc="0" locked="0" layoutInCell="1" allowOverlap="1" wp14:anchorId="7C3E53EE" wp14:editId="3AE6DD1C">
              <wp:simplePos x="635" y="635"/>
              <wp:positionH relativeFrom="page">
                <wp:align>center</wp:align>
              </wp:positionH>
              <wp:positionV relativeFrom="page">
                <wp:align>bottom</wp:align>
              </wp:positionV>
              <wp:extent cx="895350" cy="357505"/>
              <wp:effectExtent l="0" t="0" r="0" b="0"/>
              <wp:wrapNone/>
              <wp:docPr id="307419528"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2411D025" w14:textId="5A6AD1D7"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E53EE" id="_x0000_t202" coordsize="21600,21600" o:spt="202" path="m,l,21600r21600,l21600,xe">
              <v:stroke joinstyle="miter"/>
              <v:path gradientshapeok="t" o:connecttype="rect"/>
            </v:shapetype>
            <v:shape id="Text Box 5" o:spid="_x0000_s1028" type="#_x0000_t202" alt="DRAKEN PRIVATE" style="position:absolute;margin-left:0;margin-top:0;width:70.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" filled="f" stroked="f">
              <v:textbox style="mso-fit-shape-to-text:t" inset="0,0,0,15pt">
                <w:txbxContent>
                  <w:p w14:paraId="2411D025" w14:textId="5A6AD1D7"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4FE3" w14:textId="0B4807B5" w:rsidR="00165B38" w:rsidRDefault="00C042DA">
    <w:pPr>
      <w:pStyle w:val="Footer"/>
      <w:jc w:val="center"/>
    </w:pPr>
    <w:r>
      <w:rPr>
        <w:noProof/>
      </w:rPr>
      <mc:AlternateContent>
        <mc:Choice Requires="wps">
          <w:drawing>
            <wp:anchor distT="0" distB="0" distL="0" distR="0" simplePos="0" relativeHeight="251667456" behindDoc="0" locked="0" layoutInCell="1" allowOverlap="1" wp14:anchorId="655C4EDE" wp14:editId="58E1ABC7">
              <wp:simplePos x="914400" y="9906000"/>
              <wp:positionH relativeFrom="page">
                <wp:align>center</wp:align>
              </wp:positionH>
              <wp:positionV relativeFrom="page">
                <wp:align>bottom</wp:align>
              </wp:positionV>
              <wp:extent cx="895350" cy="357505"/>
              <wp:effectExtent l="0" t="0" r="0" b="0"/>
              <wp:wrapNone/>
              <wp:docPr id="434469697"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451DF12F" w14:textId="28BA8339"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C4EDE" id="_x0000_t202" coordsize="21600,21600" o:spt="202" path="m,l,21600r21600,l21600,xe">
              <v:stroke joinstyle="miter"/>
              <v:path gradientshapeok="t" o:connecttype="rect"/>
            </v:shapetype>
            <v:shape id="Text Box 6" o:spid="_x0000_s1029" type="#_x0000_t202" alt="DRAKEN PRIVATE" style="position:absolute;left:0;text-align:left;margin-left:0;margin-top:0;width:70.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" filled="f" stroked="f">
              <v:textbox style="mso-fit-shape-to-text:t" inset="0,0,0,15pt">
                <w:txbxContent>
                  <w:p w14:paraId="451DF12F" w14:textId="28BA8339"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sdt>
      <w:sdtPr>
        <w:id w:val="506099080"/>
        <w:docPartObj>
          <w:docPartGallery w:val="Page Numbers (Bottom of Page)"/>
          <w:docPartUnique/>
        </w:docPartObj>
      </w:sdtPr>
      <w:sdtContent>
        <w:sdt>
          <w:sdtPr>
            <w:id w:val="1728636285"/>
            <w:docPartObj>
              <w:docPartGallery w:val="Page Numbers (Top of Page)"/>
              <w:docPartUnique/>
            </w:docPartObj>
          </w:sdtPr>
          <w:sdtContent>
            <w:r w:rsidR="00165B38">
              <w:t xml:space="preserve">                                                                             Page </w:t>
            </w:r>
            <w:r w:rsidR="00165B38">
              <w:rPr>
                <w:b/>
                <w:bCs/>
                <w:sz w:val="24"/>
                <w:szCs w:val="24"/>
              </w:rPr>
              <w:fldChar w:fldCharType="begin"/>
            </w:r>
            <w:r w:rsidR="00165B38">
              <w:rPr>
                <w:b/>
                <w:bCs/>
              </w:rPr>
              <w:instrText xml:space="preserve"> PAGE </w:instrText>
            </w:r>
            <w:r w:rsidR="00165B38">
              <w:rPr>
                <w:b/>
                <w:bCs/>
                <w:sz w:val="24"/>
                <w:szCs w:val="24"/>
              </w:rPr>
              <w:fldChar w:fldCharType="separate"/>
            </w:r>
            <w:r w:rsidR="00165B38">
              <w:rPr>
                <w:b/>
                <w:bCs/>
                <w:noProof/>
              </w:rPr>
              <w:t>2</w:t>
            </w:r>
            <w:r w:rsidR="00165B38">
              <w:rPr>
                <w:b/>
                <w:bCs/>
                <w:sz w:val="24"/>
                <w:szCs w:val="24"/>
              </w:rPr>
              <w:fldChar w:fldCharType="end"/>
            </w:r>
            <w:r w:rsidR="00165B38">
              <w:t xml:space="preserve"> of </w:t>
            </w:r>
            <w:r w:rsidR="00165B38">
              <w:rPr>
                <w:b/>
                <w:bCs/>
                <w:sz w:val="24"/>
                <w:szCs w:val="24"/>
              </w:rPr>
              <w:fldChar w:fldCharType="begin"/>
            </w:r>
            <w:r w:rsidR="00165B38">
              <w:rPr>
                <w:b/>
                <w:bCs/>
              </w:rPr>
              <w:instrText xml:space="preserve"> NUMPAGES  </w:instrText>
            </w:r>
            <w:r w:rsidR="00165B38">
              <w:rPr>
                <w:b/>
                <w:bCs/>
                <w:sz w:val="24"/>
                <w:szCs w:val="24"/>
              </w:rPr>
              <w:fldChar w:fldCharType="separate"/>
            </w:r>
            <w:r w:rsidR="00165B38">
              <w:rPr>
                <w:b/>
                <w:bCs/>
                <w:noProof/>
              </w:rPr>
              <w:t>2</w:t>
            </w:r>
            <w:r w:rsidR="00165B38">
              <w:rPr>
                <w:b/>
                <w:bCs/>
                <w:sz w:val="24"/>
                <w:szCs w:val="24"/>
              </w:rPr>
              <w:fldChar w:fldCharType="end"/>
            </w:r>
            <w:r w:rsidR="00165B38">
              <w:rPr>
                <w:b/>
                <w:bCs/>
                <w:sz w:val="24"/>
                <w:szCs w:val="24"/>
              </w:rPr>
              <w:t xml:space="preserve">                                                      </w:t>
            </w:r>
          </w:sdtContent>
        </w:sdt>
      </w:sdtContent>
    </w:sdt>
    <w:r w:rsidR="00165B38" w:rsidRPr="00165B38">
      <w:rPr>
        <w:rFonts w:ascii="Tahoma" w:hAnsi="Tahoma" w:cs="Tahoma"/>
        <w:sz w:val="20"/>
      </w:rPr>
      <w:t xml:space="preserve"> </w:t>
    </w:r>
    <w:r w:rsidR="00165B38" w:rsidRPr="003741BF">
      <w:rPr>
        <w:rFonts w:ascii="Tahoma" w:hAnsi="Tahoma" w:cs="Tahoma"/>
        <w:sz w:val="20"/>
      </w:rPr>
      <w:t>FRCA2900-</w:t>
    </w:r>
    <w:r w:rsidR="00165B38">
      <w:rPr>
        <w:rFonts w:ascii="Tahoma" w:hAnsi="Tahoma" w:cs="Tahoma"/>
        <w:sz w:val="20"/>
      </w:rPr>
      <w:t>03</w:t>
    </w:r>
  </w:p>
  <w:p w14:paraId="5C4C6587" w14:textId="77777777" w:rsidR="000A2227" w:rsidRDefault="000A2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E91C" w14:textId="265DE750" w:rsidR="00C042DA" w:rsidRDefault="00C042DA">
    <w:pPr>
      <w:pStyle w:val="Footer"/>
    </w:pPr>
    <w:r>
      <w:rPr>
        <w:noProof/>
      </w:rPr>
      <mc:AlternateContent>
        <mc:Choice Requires="wps">
          <w:drawing>
            <wp:anchor distT="0" distB="0" distL="0" distR="0" simplePos="0" relativeHeight="251665408" behindDoc="0" locked="0" layoutInCell="1" allowOverlap="1" wp14:anchorId="7B7FBFE0" wp14:editId="52E31E82">
              <wp:simplePos x="635" y="635"/>
              <wp:positionH relativeFrom="page">
                <wp:align>center</wp:align>
              </wp:positionH>
              <wp:positionV relativeFrom="page">
                <wp:align>bottom</wp:align>
              </wp:positionV>
              <wp:extent cx="895350" cy="357505"/>
              <wp:effectExtent l="0" t="0" r="0" b="0"/>
              <wp:wrapNone/>
              <wp:docPr id="758767310"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5B83E795" w14:textId="6E582015"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7FBFE0" id="_x0000_t202" coordsize="21600,21600" o:spt="202" path="m,l,21600r21600,l21600,xe">
              <v:stroke joinstyle="miter"/>
              <v:path gradientshapeok="t" o:connecttype="rect"/>
            </v:shapetype>
            <v:shape id="Text Box 4" o:spid="_x0000_s1031" type="#_x0000_t202" alt="DRAKEN PRIVATE" style="position:absolute;margin-left:0;margin-top:0;width:70.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" filled="f" stroked="f">
              <v:textbox style="mso-fit-shape-to-text:t" inset="0,0,0,15pt">
                <w:txbxContent>
                  <w:p w14:paraId="5B83E795" w14:textId="6E582015"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DB5C" w14:textId="77777777" w:rsidR="00B01498" w:rsidRDefault="00B01498" w:rsidP="003741BF">
      <w:pPr>
        <w:spacing w:after="0" w:line="240" w:lineRule="auto"/>
      </w:pPr>
      <w:r>
        <w:separator/>
      </w:r>
    </w:p>
  </w:footnote>
  <w:footnote w:type="continuationSeparator" w:id="0">
    <w:p w14:paraId="530D00D6" w14:textId="77777777" w:rsidR="00B01498" w:rsidRDefault="00B01498" w:rsidP="0037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F23F" w14:textId="46B24EC4" w:rsidR="00C042DA" w:rsidRDefault="00C042DA">
    <w:pPr>
      <w:pStyle w:val="Header"/>
    </w:pPr>
    <w:r>
      <w:rPr>
        <w:noProof/>
      </w:rPr>
      <mc:AlternateContent>
        <mc:Choice Requires="wps">
          <w:drawing>
            <wp:anchor distT="0" distB="0" distL="0" distR="0" simplePos="0" relativeHeight="251663360" behindDoc="0" locked="0" layoutInCell="1" allowOverlap="1" wp14:anchorId="41848288" wp14:editId="48D25753">
              <wp:simplePos x="635" y="635"/>
              <wp:positionH relativeFrom="page">
                <wp:align>center</wp:align>
              </wp:positionH>
              <wp:positionV relativeFrom="page">
                <wp:align>top</wp:align>
              </wp:positionV>
              <wp:extent cx="895350" cy="357505"/>
              <wp:effectExtent l="0" t="0" r="0" b="4445"/>
              <wp:wrapNone/>
              <wp:docPr id="1413636762"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70CD4CF3" w14:textId="0F0E050F"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48288" id="_x0000_t202" coordsize="21600,21600" o:spt="202" path="m,l,21600r21600,l21600,xe">
              <v:stroke joinstyle="miter"/>
              <v:path gradientshapeok="t" o:connecttype="rect"/>
            </v:shapetype>
            <v:shape id="Text Box 2" o:spid="_x0000_s1026" type="#_x0000_t202" alt="DRAKEN PRIVATE" style="position:absolute;margin-left:0;margin-top:0;width:70.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" filled="f" stroked="f">
              <v:textbox style="mso-fit-shape-to-text:t" inset="0,15pt,0,0">
                <w:txbxContent>
                  <w:p w14:paraId="70CD4CF3" w14:textId="0F0E050F"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5AD3" w14:textId="123291A0" w:rsidR="000A2227" w:rsidRPr="003741BF" w:rsidRDefault="00C042DA" w:rsidP="003741BF">
    <w:pPr>
      <w:pStyle w:val="Header"/>
      <w:jc w:val="right"/>
    </w:pPr>
    <w:r>
      <w:rPr>
        <w:noProof/>
      </w:rPr>
      <mc:AlternateContent>
        <mc:Choice Requires="wps">
          <w:drawing>
            <wp:anchor distT="0" distB="0" distL="0" distR="0" simplePos="0" relativeHeight="251664384" behindDoc="0" locked="0" layoutInCell="1" allowOverlap="1" wp14:anchorId="390959B4" wp14:editId="75E7B8D5">
              <wp:simplePos x="914400" y="447675"/>
              <wp:positionH relativeFrom="page">
                <wp:align>center</wp:align>
              </wp:positionH>
              <wp:positionV relativeFrom="page">
                <wp:align>top</wp:align>
              </wp:positionV>
              <wp:extent cx="895350" cy="357505"/>
              <wp:effectExtent l="0" t="0" r="0" b="4445"/>
              <wp:wrapNone/>
              <wp:docPr id="1013203367"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7F7E8E2C" w14:textId="352123FF"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959B4" id="_x0000_t202" coordsize="21600,21600" o:spt="202" path="m,l,21600r21600,l21600,xe">
              <v:stroke joinstyle="miter"/>
              <v:path gradientshapeok="t" o:connecttype="rect"/>
            </v:shapetype>
            <v:shape id="Text Box 3" o:spid="_x0000_s1027" type="#_x0000_t202" alt="DRAKEN PRIVATE" style="position:absolute;left:0;text-align:left;margin-left:0;margin-top:0;width:70.5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" filled="f" stroked="f">
              <v:textbox style="mso-fit-shape-to-text:t" inset="0,15pt,0,0">
                <w:txbxContent>
                  <w:p w14:paraId="7F7E8E2C" w14:textId="352123FF"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r w:rsidR="00165B38">
      <w:rPr>
        <w:noProof/>
      </w:rPr>
      <w:drawing>
        <wp:anchor distT="0" distB="0" distL="114300" distR="114300" simplePos="0" relativeHeight="251661312" behindDoc="1" locked="0" layoutInCell="1" allowOverlap="1" wp14:anchorId="2BB0BC9C" wp14:editId="3640762D">
          <wp:simplePos x="0" y="0"/>
          <wp:positionH relativeFrom="margin">
            <wp:posOffset>0</wp:posOffset>
          </wp:positionH>
          <wp:positionV relativeFrom="paragraph">
            <wp:posOffset>-635</wp:posOffset>
          </wp:positionV>
          <wp:extent cx="1476375" cy="333375"/>
          <wp:effectExtent l="0" t="0" r="9525" b="9525"/>
          <wp:wrapNone/>
          <wp:docPr id="1390797705" name="Picture 1390797705" descr="Draken_Logo_Black_RGB.jpg"/>
          <wp:cNvGraphicFramePr/>
          <a:graphic xmlns:a="http://schemas.openxmlformats.org/drawingml/2006/main">
            <a:graphicData uri="http://schemas.openxmlformats.org/drawingml/2006/picture">
              <pic:pic xmlns:pic="http://schemas.openxmlformats.org/drawingml/2006/picture">
                <pic:nvPicPr>
                  <pic:cNvPr id="17" name="Picture 17" descr="Draken_Logo_Black_RGB.jpg"/>
                  <pic:cNvPicPr/>
                </pic:nvPicPr>
                <pic:blipFill rotWithShape="1">
                  <a:blip r:embed="rId1" cstate="print">
                    <a:extLst>
                      <a:ext uri="{28A0092B-C50C-407E-A947-70E740481C1C}">
                        <a14:useLocalDpi xmlns:a14="http://schemas.microsoft.com/office/drawing/2010/main" val="0"/>
                      </a:ext>
                    </a:extLst>
                  </a:blip>
                  <a:srcRect l="12207" t="27959" r="12110" b="29490"/>
                  <a:stretch/>
                </pic:blipFill>
                <pic:spPr bwMode="auto">
                  <a:xfrm>
                    <a:off x="0" y="0"/>
                    <a:ext cx="1476375" cy="3333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B61A" w14:textId="0FBE44DD" w:rsidR="00C042DA" w:rsidRDefault="00C042DA">
    <w:pPr>
      <w:pStyle w:val="Header"/>
    </w:pPr>
    <w:r>
      <w:rPr>
        <w:noProof/>
      </w:rPr>
      <mc:AlternateContent>
        <mc:Choice Requires="wps">
          <w:drawing>
            <wp:anchor distT="0" distB="0" distL="0" distR="0" simplePos="0" relativeHeight="251662336" behindDoc="0" locked="0" layoutInCell="1" allowOverlap="1" wp14:anchorId="11647FD8" wp14:editId="100C333A">
              <wp:simplePos x="635" y="635"/>
              <wp:positionH relativeFrom="page">
                <wp:align>center</wp:align>
              </wp:positionH>
              <wp:positionV relativeFrom="page">
                <wp:align>top</wp:align>
              </wp:positionV>
              <wp:extent cx="895350" cy="357505"/>
              <wp:effectExtent l="0" t="0" r="0" b="4445"/>
              <wp:wrapNone/>
              <wp:docPr id="79756981"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57505"/>
                      </a:xfrm>
                      <a:prstGeom prst="rect">
                        <a:avLst/>
                      </a:prstGeom>
                      <a:noFill/>
                      <a:ln>
                        <a:noFill/>
                      </a:ln>
                    </wps:spPr>
                    <wps:txbx>
                      <w:txbxContent>
                        <w:p w14:paraId="14D07065" w14:textId="1B7481C0"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47FD8" id="_x0000_t202" coordsize="21600,21600" o:spt="202" path="m,l,21600r21600,l21600,xe">
              <v:stroke joinstyle="miter"/>
              <v:path gradientshapeok="t" o:connecttype="rect"/>
            </v:shapetype>
            <v:shape id="Text Box 1" o:spid="_x0000_s1030" type="#_x0000_t202" alt="DRAKEN PRIVATE" style="position:absolute;margin-left:0;margin-top:0;width:70.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" filled="f" stroked="f">
              <v:textbox style="mso-fit-shape-to-text:t" inset="0,15pt,0,0">
                <w:txbxContent>
                  <w:p w14:paraId="14D07065" w14:textId="1B7481C0" w:rsidR="00C042DA" w:rsidRPr="00C042DA" w:rsidRDefault="00C042DA" w:rsidP="00C042DA">
                    <w:pPr>
                      <w:spacing w:after="0"/>
                      <w:rPr>
                        <w:rFonts w:ascii="Calibri" w:eastAsia="Calibri" w:hAnsi="Calibri" w:cs="Calibri"/>
                        <w:noProof/>
                        <w:color w:val="000000"/>
                        <w:sz w:val="20"/>
                        <w:szCs w:val="20"/>
                      </w:rPr>
                    </w:pPr>
                    <w:r w:rsidRPr="00C042DA">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D13"/>
    <w:multiLevelType w:val="hybridMultilevel"/>
    <w:tmpl w:val="6F2A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51E52EF"/>
    <w:multiLevelType w:val="hybridMultilevel"/>
    <w:tmpl w:val="DC706E7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E694A20"/>
    <w:multiLevelType w:val="hybridMultilevel"/>
    <w:tmpl w:val="F77E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CA273F5"/>
    <w:multiLevelType w:val="hybridMultilevel"/>
    <w:tmpl w:val="8116A194"/>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EB0F3B"/>
    <w:multiLevelType w:val="hybridMultilevel"/>
    <w:tmpl w:val="FC96B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50B"/>
    <w:multiLevelType w:val="hybridMultilevel"/>
    <w:tmpl w:val="07EA12A0"/>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078A1"/>
    <w:multiLevelType w:val="hybridMultilevel"/>
    <w:tmpl w:val="FEAC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B1BA1"/>
    <w:multiLevelType w:val="hybridMultilevel"/>
    <w:tmpl w:val="5B50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60D9"/>
    <w:multiLevelType w:val="hybridMultilevel"/>
    <w:tmpl w:val="B9B4A13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52DC7E02"/>
    <w:multiLevelType w:val="hybridMultilevel"/>
    <w:tmpl w:val="E34EE8CC"/>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A4D0557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096D"/>
    <w:multiLevelType w:val="hybridMultilevel"/>
    <w:tmpl w:val="7AE87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310C46"/>
    <w:multiLevelType w:val="hybridMultilevel"/>
    <w:tmpl w:val="2A94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854CF"/>
    <w:multiLevelType w:val="hybridMultilevel"/>
    <w:tmpl w:val="B50E492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303143">
    <w:abstractNumId w:val="18"/>
  </w:num>
  <w:num w:numId="2" w16cid:durableId="2112894219">
    <w:abstractNumId w:val="16"/>
  </w:num>
  <w:num w:numId="3" w16cid:durableId="124928635">
    <w:abstractNumId w:val="6"/>
  </w:num>
  <w:num w:numId="4" w16cid:durableId="1749233901">
    <w:abstractNumId w:val="11"/>
  </w:num>
  <w:num w:numId="5" w16cid:durableId="171652077">
    <w:abstractNumId w:val="2"/>
  </w:num>
  <w:num w:numId="6" w16cid:durableId="1689327038">
    <w:abstractNumId w:val="15"/>
  </w:num>
  <w:num w:numId="7" w16cid:durableId="377894372">
    <w:abstractNumId w:val="13"/>
  </w:num>
  <w:num w:numId="8" w16cid:durableId="1732924675">
    <w:abstractNumId w:val="9"/>
  </w:num>
  <w:num w:numId="9" w16cid:durableId="1378889776">
    <w:abstractNumId w:val="10"/>
  </w:num>
  <w:num w:numId="10" w16cid:durableId="351804152">
    <w:abstractNumId w:val="19"/>
  </w:num>
  <w:num w:numId="11" w16cid:durableId="158276491">
    <w:abstractNumId w:val="7"/>
  </w:num>
  <w:num w:numId="12" w16cid:durableId="712341630">
    <w:abstractNumId w:val="4"/>
  </w:num>
  <w:num w:numId="13" w16cid:durableId="1112287873">
    <w:abstractNumId w:val="3"/>
  </w:num>
  <w:num w:numId="14" w16cid:durableId="254752246">
    <w:abstractNumId w:val="20"/>
  </w:num>
  <w:num w:numId="15" w16cid:durableId="1950233739">
    <w:abstractNumId w:val="8"/>
  </w:num>
  <w:num w:numId="16" w16cid:durableId="378093777">
    <w:abstractNumId w:val="12"/>
  </w:num>
  <w:num w:numId="17" w16cid:durableId="692919543">
    <w:abstractNumId w:val="5"/>
  </w:num>
  <w:num w:numId="18" w16cid:durableId="1077629849">
    <w:abstractNumId w:val="0"/>
  </w:num>
  <w:num w:numId="19" w16cid:durableId="782264115">
    <w:abstractNumId w:val="17"/>
  </w:num>
  <w:num w:numId="20" w16cid:durableId="1873377417">
    <w:abstractNumId w:val="1"/>
  </w:num>
  <w:num w:numId="21" w16cid:durableId="708337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BF"/>
    <w:rsid w:val="00001125"/>
    <w:rsid w:val="00001F90"/>
    <w:rsid w:val="000167D2"/>
    <w:rsid w:val="000173A6"/>
    <w:rsid w:val="000258BC"/>
    <w:rsid w:val="00030403"/>
    <w:rsid w:val="00036C3E"/>
    <w:rsid w:val="000408AF"/>
    <w:rsid w:val="00044F5A"/>
    <w:rsid w:val="00055AE9"/>
    <w:rsid w:val="00061621"/>
    <w:rsid w:val="0006270F"/>
    <w:rsid w:val="00063A32"/>
    <w:rsid w:val="00072F39"/>
    <w:rsid w:val="00074C74"/>
    <w:rsid w:val="00093629"/>
    <w:rsid w:val="000A2227"/>
    <w:rsid w:val="000A790E"/>
    <w:rsid w:val="000B57D5"/>
    <w:rsid w:val="000C122D"/>
    <w:rsid w:val="000C4CA7"/>
    <w:rsid w:val="000D2E4B"/>
    <w:rsid w:val="000D583C"/>
    <w:rsid w:val="000E4A45"/>
    <w:rsid w:val="000F482F"/>
    <w:rsid w:val="000F6197"/>
    <w:rsid w:val="00105DBD"/>
    <w:rsid w:val="001155D3"/>
    <w:rsid w:val="0012306E"/>
    <w:rsid w:val="001278DD"/>
    <w:rsid w:val="00144F69"/>
    <w:rsid w:val="001536B6"/>
    <w:rsid w:val="001562CA"/>
    <w:rsid w:val="001614D0"/>
    <w:rsid w:val="00162679"/>
    <w:rsid w:val="00165501"/>
    <w:rsid w:val="00165B38"/>
    <w:rsid w:val="0017619E"/>
    <w:rsid w:val="00176F09"/>
    <w:rsid w:val="0019264F"/>
    <w:rsid w:val="001A2453"/>
    <w:rsid w:val="001B038B"/>
    <w:rsid w:val="001B39A7"/>
    <w:rsid w:val="001C13FC"/>
    <w:rsid w:val="001C1FF8"/>
    <w:rsid w:val="001C507F"/>
    <w:rsid w:val="001D03D0"/>
    <w:rsid w:val="001D7FA5"/>
    <w:rsid w:val="001E2E60"/>
    <w:rsid w:val="001E642A"/>
    <w:rsid w:val="001E6837"/>
    <w:rsid w:val="001F6A0F"/>
    <w:rsid w:val="002043F9"/>
    <w:rsid w:val="0020448C"/>
    <w:rsid w:val="00205122"/>
    <w:rsid w:val="0020547B"/>
    <w:rsid w:val="00220D68"/>
    <w:rsid w:val="00225A3A"/>
    <w:rsid w:val="002351A3"/>
    <w:rsid w:val="00236AB5"/>
    <w:rsid w:val="002370FC"/>
    <w:rsid w:val="0024048B"/>
    <w:rsid w:val="002540E7"/>
    <w:rsid w:val="002614D7"/>
    <w:rsid w:val="002629C7"/>
    <w:rsid w:val="00280899"/>
    <w:rsid w:val="002813D2"/>
    <w:rsid w:val="002819A1"/>
    <w:rsid w:val="00281A78"/>
    <w:rsid w:val="00284377"/>
    <w:rsid w:val="002869AB"/>
    <w:rsid w:val="00286E35"/>
    <w:rsid w:val="00287C22"/>
    <w:rsid w:val="00291A0F"/>
    <w:rsid w:val="002926BF"/>
    <w:rsid w:val="002944E2"/>
    <w:rsid w:val="002C5728"/>
    <w:rsid w:val="002D1C2A"/>
    <w:rsid w:val="002D2976"/>
    <w:rsid w:val="002E45C7"/>
    <w:rsid w:val="00301B4C"/>
    <w:rsid w:val="00314AD9"/>
    <w:rsid w:val="003276B4"/>
    <w:rsid w:val="00331B38"/>
    <w:rsid w:val="0033506D"/>
    <w:rsid w:val="00337CEB"/>
    <w:rsid w:val="003741BF"/>
    <w:rsid w:val="00376553"/>
    <w:rsid w:val="00391061"/>
    <w:rsid w:val="0039147B"/>
    <w:rsid w:val="00396399"/>
    <w:rsid w:val="0039702E"/>
    <w:rsid w:val="003A624E"/>
    <w:rsid w:val="003A6AC1"/>
    <w:rsid w:val="003C52BD"/>
    <w:rsid w:val="003C5D4C"/>
    <w:rsid w:val="003C78A8"/>
    <w:rsid w:val="003D2FED"/>
    <w:rsid w:val="003E2179"/>
    <w:rsid w:val="003E2E0D"/>
    <w:rsid w:val="00401B75"/>
    <w:rsid w:val="0040663B"/>
    <w:rsid w:val="00406DF2"/>
    <w:rsid w:val="00411C4A"/>
    <w:rsid w:val="0041355C"/>
    <w:rsid w:val="004147C0"/>
    <w:rsid w:val="004164B9"/>
    <w:rsid w:val="00424E29"/>
    <w:rsid w:val="004273D1"/>
    <w:rsid w:val="00437684"/>
    <w:rsid w:val="00437A29"/>
    <w:rsid w:val="004519A2"/>
    <w:rsid w:val="00454289"/>
    <w:rsid w:val="00455838"/>
    <w:rsid w:val="00460EFF"/>
    <w:rsid w:val="00463F97"/>
    <w:rsid w:val="00464FFF"/>
    <w:rsid w:val="00484853"/>
    <w:rsid w:val="00484D98"/>
    <w:rsid w:val="00486331"/>
    <w:rsid w:val="00487CD2"/>
    <w:rsid w:val="004900DA"/>
    <w:rsid w:val="004A469C"/>
    <w:rsid w:val="004B42F1"/>
    <w:rsid w:val="004B6638"/>
    <w:rsid w:val="004C6CDB"/>
    <w:rsid w:val="004C7199"/>
    <w:rsid w:val="005078BB"/>
    <w:rsid w:val="00507D0B"/>
    <w:rsid w:val="0051180F"/>
    <w:rsid w:val="00514931"/>
    <w:rsid w:val="0051577A"/>
    <w:rsid w:val="0052734A"/>
    <w:rsid w:val="00550D21"/>
    <w:rsid w:val="00550E7F"/>
    <w:rsid w:val="00552C5E"/>
    <w:rsid w:val="005544A1"/>
    <w:rsid w:val="00561D57"/>
    <w:rsid w:val="00564372"/>
    <w:rsid w:val="00585AC9"/>
    <w:rsid w:val="005903F2"/>
    <w:rsid w:val="00590DF5"/>
    <w:rsid w:val="005969AE"/>
    <w:rsid w:val="005A292F"/>
    <w:rsid w:val="005C3E4A"/>
    <w:rsid w:val="005E3364"/>
    <w:rsid w:val="005E516B"/>
    <w:rsid w:val="005E6D43"/>
    <w:rsid w:val="005F1561"/>
    <w:rsid w:val="005F59CA"/>
    <w:rsid w:val="005F6B58"/>
    <w:rsid w:val="006023E5"/>
    <w:rsid w:val="00606790"/>
    <w:rsid w:val="00613C42"/>
    <w:rsid w:val="00615626"/>
    <w:rsid w:val="00616390"/>
    <w:rsid w:val="00620428"/>
    <w:rsid w:val="006205AC"/>
    <w:rsid w:val="00621268"/>
    <w:rsid w:val="006225B0"/>
    <w:rsid w:val="00637DC8"/>
    <w:rsid w:val="006448C3"/>
    <w:rsid w:val="0064567D"/>
    <w:rsid w:val="00670C5D"/>
    <w:rsid w:val="00684C59"/>
    <w:rsid w:val="00692B7E"/>
    <w:rsid w:val="006A0C7C"/>
    <w:rsid w:val="006A41A3"/>
    <w:rsid w:val="006B6D88"/>
    <w:rsid w:val="006C446A"/>
    <w:rsid w:val="006D35C9"/>
    <w:rsid w:val="006D37EC"/>
    <w:rsid w:val="006D716D"/>
    <w:rsid w:val="006E18B9"/>
    <w:rsid w:val="006F4128"/>
    <w:rsid w:val="00707656"/>
    <w:rsid w:val="00710D26"/>
    <w:rsid w:val="00711AFB"/>
    <w:rsid w:val="00711E16"/>
    <w:rsid w:val="007174FF"/>
    <w:rsid w:val="00721FA1"/>
    <w:rsid w:val="007231FA"/>
    <w:rsid w:val="007268D5"/>
    <w:rsid w:val="00743303"/>
    <w:rsid w:val="007505C4"/>
    <w:rsid w:val="00750C7D"/>
    <w:rsid w:val="00751672"/>
    <w:rsid w:val="0075659F"/>
    <w:rsid w:val="0076202A"/>
    <w:rsid w:val="0077117D"/>
    <w:rsid w:val="0077125A"/>
    <w:rsid w:val="0077491A"/>
    <w:rsid w:val="007846D9"/>
    <w:rsid w:val="007846F1"/>
    <w:rsid w:val="00786F8E"/>
    <w:rsid w:val="0079561D"/>
    <w:rsid w:val="00795B7E"/>
    <w:rsid w:val="00795CA5"/>
    <w:rsid w:val="00797541"/>
    <w:rsid w:val="007A2C7E"/>
    <w:rsid w:val="007A4361"/>
    <w:rsid w:val="007A6345"/>
    <w:rsid w:val="007A71CD"/>
    <w:rsid w:val="007B1DD4"/>
    <w:rsid w:val="007B7E82"/>
    <w:rsid w:val="007C2AE0"/>
    <w:rsid w:val="007C4ACA"/>
    <w:rsid w:val="007D1C19"/>
    <w:rsid w:val="007D418D"/>
    <w:rsid w:val="007D46AA"/>
    <w:rsid w:val="007E2889"/>
    <w:rsid w:val="007F2F6E"/>
    <w:rsid w:val="0080797F"/>
    <w:rsid w:val="008100CE"/>
    <w:rsid w:val="0081235E"/>
    <w:rsid w:val="0081605E"/>
    <w:rsid w:val="0082504B"/>
    <w:rsid w:val="00826973"/>
    <w:rsid w:val="008276B8"/>
    <w:rsid w:val="00843F59"/>
    <w:rsid w:val="00844968"/>
    <w:rsid w:val="00847729"/>
    <w:rsid w:val="0085645D"/>
    <w:rsid w:val="00861296"/>
    <w:rsid w:val="008709AB"/>
    <w:rsid w:val="0087274B"/>
    <w:rsid w:val="0087554A"/>
    <w:rsid w:val="008774DE"/>
    <w:rsid w:val="0089288C"/>
    <w:rsid w:val="008A176C"/>
    <w:rsid w:val="008A2C01"/>
    <w:rsid w:val="008B0C43"/>
    <w:rsid w:val="008B71AE"/>
    <w:rsid w:val="008C008F"/>
    <w:rsid w:val="008C2092"/>
    <w:rsid w:val="008C2E9A"/>
    <w:rsid w:val="008C56FB"/>
    <w:rsid w:val="008D4A65"/>
    <w:rsid w:val="008D621C"/>
    <w:rsid w:val="008F4C7B"/>
    <w:rsid w:val="0090434C"/>
    <w:rsid w:val="00921E50"/>
    <w:rsid w:val="009271B6"/>
    <w:rsid w:val="00933530"/>
    <w:rsid w:val="00933D3C"/>
    <w:rsid w:val="00936299"/>
    <w:rsid w:val="00936D5B"/>
    <w:rsid w:val="00940F70"/>
    <w:rsid w:val="009427FC"/>
    <w:rsid w:val="00943F2A"/>
    <w:rsid w:val="009449BE"/>
    <w:rsid w:val="00946E39"/>
    <w:rsid w:val="00960724"/>
    <w:rsid w:val="009612C1"/>
    <w:rsid w:val="00965411"/>
    <w:rsid w:val="00973A69"/>
    <w:rsid w:val="00981ACD"/>
    <w:rsid w:val="00981E72"/>
    <w:rsid w:val="009828BE"/>
    <w:rsid w:val="00984658"/>
    <w:rsid w:val="00984C83"/>
    <w:rsid w:val="00993E68"/>
    <w:rsid w:val="009A2BCF"/>
    <w:rsid w:val="009A74CA"/>
    <w:rsid w:val="009B1C4F"/>
    <w:rsid w:val="009B4AFE"/>
    <w:rsid w:val="009D060E"/>
    <w:rsid w:val="009F055D"/>
    <w:rsid w:val="00A00D5E"/>
    <w:rsid w:val="00A031F3"/>
    <w:rsid w:val="00A06A92"/>
    <w:rsid w:val="00A13E42"/>
    <w:rsid w:val="00A21419"/>
    <w:rsid w:val="00A340D3"/>
    <w:rsid w:val="00A34CA7"/>
    <w:rsid w:val="00A36EE7"/>
    <w:rsid w:val="00A438EB"/>
    <w:rsid w:val="00A500B9"/>
    <w:rsid w:val="00A5611D"/>
    <w:rsid w:val="00A61381"/>
    <w:rsid w:val="00A62800"/>
    <w:rsid w:val="00A65774"/>
    <w:rsid w:val="00A65E6A"/>
    <w:rsid w:val="00A833E4"/>
    <w:rsid w:val="00A93056"/>
    <w:rsid w:val="00AA3A73"/>
    <w:rsid w:val="00AA76C3"/>
    <w:rsid w:val="00AB1AAD"/>
    <w:rsid w:val="00AB1BDB"/>
    <w:rsid w:val="00AB50F7"/>
    <w:rsid w:val="00AB7B16"/>
    <w:rsid w:val="00AD2BFD"/>
    <w:rsid w:val="00AD5B09"/>
    <w:rsid w:val="00AE73F5"/>
    <w:rsid w:val="00AE743A"/>
    <w:rsid w:val="00AF4E32"/>
    <w:rsid w:val="00B01498"/>
    <w:rsid w:val="00B0694A"/>
    <w:rsid w:val="00B21DB2"/>
    <w:rsid w:val="00B34964"/>
    <w:rsid w:val="00B36230"/>
    <w:rsid w:val="00B43FD1"/>
    <w:rsid w:val="00B51834"/>
    <w:rsid w:val="00B6188F"/>
    <w:rsid w:val="00B65F2D"/>
    <w:rsid w:val="00B67649"/>
    <w:rsid w:val="00B712AD"/>
    <w:rsid w:val="00B90BE6"/>
    <w:rsid w:val="00B91F55"/>
    <w:rsid w:val="00BA2589"/>
    <w:rsid w:val="00BA7738"/>
    <w:rsid w:val="00BB4A5E"/>
    <w:rsid w:val="00BC0C2E"/>
    <w:rsid w:val="00BC3115"/>
    <w:rsid w:val="00BD27E3"/>
    <w:rsid w:val="00BD3CEE"/>
    <w:rsid w:val="00BE0642"/>
    <w:rsid w:val="00BE08A1"/>
    <w:rsid w:val="00BE1BB4"/>
    <w:rsid w:val="00BE537A"/>
    <w:rsid w:val="00BE5A79"/>
    <w:rsid w:val="00BE77D6"/>
    <w:rsid w:val="00BF6309"/>
    <w:rsid w:val="00BF7484"/>
    <w:rsid w:val="00C042DA"/>
    <w:rsid w:val="00C06304"/>
    <w:rsid w:val="00C0636D"/>
    <w:rsid w:val="00C07112"/>
    <w:rsid w:val="00C17DC6"/>
    <w:rsid w:val="00C22C02"/>
    <w:rsid w:val="00C235EA"/>
    <w:rsid w:val="00C26C49"/>
    <w:rsid w:val="00C27F88"/>
    <w:rsid w:val="00C43F47"/>
    <w:rsid w:val="00C45438"/>
    <w:rsid w:val="00C478DF"/>
    <w:rsid w:val="00C50642"/>
    <w:rsid w:val="00C5426C"/>
    <w:rsid w:val="00C61B0B"/>
    <w:rsid w:val="00C63BB3"/>
    <w:rsid w:val="00C6716E"/>
    <w:rsid w:val="00C748B9"/>
    <w:rsid w:val="00C77F75"/>
    <w:rsid w:val="00C83A36"/>
    <w:rsid w:val="00C86AF3"/>
    <w:rsid w:val="00C876C5"/>
    <w:rsid w:val="00C90FCA"/>
    <w:rsid w:val="00C93023"/>
    <w:rsid w:val="00C965BC"/>
    <w:rsid w:val="00CA5FA2"/>
    <w:rsid w:val="00CC125F"/>
    <w:rsid w:val="00CD053C"/>
    <w:rsid w:val="00CD0C0F"/>
    <w:rsid w:val="00CD18FF"/>
    <w:rsid w:val="00CD193A"/>
    <w:rsid w:val="00CD6408"/>
    <w:rsid w:val="00CD7D55"/>
    <w:rsid w:val="00CE7F7F"/>
    <w:rsid w:val="00CF03F1"/>
    <w:rsid w:val="00CF609C"/>
    <w:rsid w:val="00D00DE9"/>
    <w:rsid w:val="00D03647"/>
    <w:rsid w:val="00D136B9"/>
    <w:rsid w:val="00D276A7"/>
    <w:rsid w:val="00D329B5"/>
    <w:rsid w:val="00D33B86"/>
    <w:rsid w:val="00D344CF"/>
    <w:rsid w:val="00D37AC2"/>
    <w:rsid w:val="00D40BA3"/>
    <w:rsid w:val="00D41094"/>
    <w:rsid w:val="00D438F8"/>
    <w:rsid w:val="00D541A4"/>
    <w:rsid w:val="00D544D5"/>
    <w:rsid w:val="00D54F2A"/>
    <w:rsid w:val="00D5723B"/>
    <w:rsid w:val="00D87206"/>
    <w:rsid w:val="00D90D09"/>
    <w:rsid w:val="00D9715B"/>
    <w:rsid w:val="00D97995"/>
    <w:rsid w:val="00DA0F83"/>
    <w:rsid w:val="00DA2FCD"/>
    <w:rsid w:val="00DA471F"/>
    <w:rsid w:val="00DB7AC6"/>
    <w:rsid w:val="00DC1F41"/>
    <w:rsid w:val="00DE0239"/>
    <w:rsid w:val="00DE509E"/>
    <w:rsid w:val="00DE5F57"/>
    <w:rsid w:val="00DE6BD2"/>
    <w:rsid w:val="00E00E3C"/>
    <w:rsid w:val="00E14B6A"/>
    <w:rsid w:val="00E1607C"/>
    <w:rsid w:val="00E341CF"/>
    <w:rsid w:val="00E40248"/>
    <w:rsid w:val="00E4167E"/>
    <w:rsid w:val="00E45D13"/>
    <w:rsid w:val="00E463A9"/>
    <w:rsid w:val="00E50F5D"/>
    <w:rsid w:val="00E623DE"/>
    <w:rsid w:val="00E62938"/>
    <w:rsid w:val="00E74FB9"/>
    <w:rsid w:val="00E80CAA"/>
    <w:rsid w:val="00E825D4"/>
    <w:rsid w:val="00E84263"/>
    <w:rsid w:val="00E85AA1"/>
    <w:rsid w:val="00E85D17"/>
    <w:rsid w:val="00EB0D2E"/>
    <w:rsid w:val="00EB19EE"/>
    <w:rsid w:val="00EB4B0E"/>
    <w:rsid w:val="00EB54D6"/>
    <w:rsid w:val="00EB7805"/>
    <w:rsid w:val="00EC37D1"/>
    <w:rsid w:val="00EC4119"/>
    <w:rsid w:val="00ED6766"/>
    <w:rsid w:val="00EE0A39"/>
    <w:rsid w:val="00EF50D0"/>
    <w:rsid w:val="00EF59D5"/>
    <w:rsid w:val="00F07522"/>
    <w:rsid w:val="00F1737F"/>
    <w:rsid w:val="00F24516"/>
    <w:rsid w:val="00F2697A"/>
    <w:rsid w:val="00F343D2"/>
    <w:rsid w:val="00F34D1B"/>
    <w:rsid w:val="00F40504"/>
    <w:rsid w:val="00F4491C"/>
    <w:rsid w:val="00F517EB"/>
    <w:rsid w:val="00F52551"/>
    <w:rsid w:val="00F52787"/>
    <w:rsid w:val="00F6209D"/>
    <w:rsid w:val="00F73490"/>
    <w:rsid w:val="00F77090"/>
    <w:rsid w:val="00F86EDA"/>
    <w:rsid w:val="00F872A3"/>
    <w:rsid w:val="00F94DC4"/>
    <w:rsid w:val="00FA4CC7"/>
    <w:rsid w:val="00FB67A2"/>
    <w:rsid w:val="00FB7E83"/>
    <w:rsid w:val="00FC182C"/>
    <w:rsid w:val="00FC2672"/>
    <w:rsid w:val="00FC26CB"/>
    <w:rsid w:val="00FC3507"/>
    <w:rsid w:val="00FD0432"/>
    <w:rsid w:val="00FD458C"/>
    <w:rsid w:val="00FD6BE2"/>
    <w:rsid w:val="00FE5BC7"/>
    <w:rsid w:val="00FE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A666"/>
  <w15:chartTrackingRefBased/>
  <w15:docId w15:val="{90DAFAD1-319B-4025-978D-F8386147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1BF"/>
    <w:pPr>
      <w:tabs>
        <w:tab w:val="center" w:pos="4513"/>
        <w:tab w:val="right" w:pos="9026"/>
      </w:tabs>
      <w:spacing w:after="0" w:line="240" w:lineRule="auto"/>
    </w:pPr>
  </w:style>
  <w:style w:type="character" w:customStyle="1" w:styleId="HeaderChar">
    <w:name w:val="Header Char"/>
    <w:basedOn w:val="DefaultParagraphFont"/>
    <w:link w:val="Header"/>
    <w:rsid w:val="003741BF"/>
  </w:style>
  <w:style w:type="paragraph" w:styleId="Footer">
    <w:name w:val="footer"/>
    <w:basedOn w:val="Normal"/>
    <w:link w:val="FooterChar"/>
    <w:uiPriority w:val="99"/>
    <w:unhideWhenUsed/>
    <w:rsid w:val="00374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1BF"/>
  </w:style>
  <w:style w:type="table" w:styleId="TableGrid">
    <w:name w:val="Table Grid"/>
    <w:basedOn w:val="TableNormal"/>
    <w:rsid w:val="0037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41BF"/>
    <w:pPr>
      <w:spacing w:after="0" w:line="240" w:lineRule="auto"/>
    </w:pPr>
  </w:style>
  <w:style w:type="paragraph" w:styleId="ListParagraph">
    <w:name w:val="List Paragraph"/>
    <w:basedOn w:val="Normal"/>
    <w:uiPriority w:val="34"/>
    <w:qFormat/>
    <w:rsid w:val="00E4167E"/>
    <w:pPr>
      <w:spacing w:after="0" w:line="240" w:lineRule="auto"/>
      <w:ind w:left="720"/>
      <w:contextualSpacing/>
    </w:pPr>
    <w:rPr>
      <w:rFonts w:ascii="Arial" w:eastAsia="Times New Roman" w:hAnsi="Arial" w:cs="Times New Roman"/>
      <w:sz w:val="24"/>
      <w:szCs w:val="24"/>
      <w:lang w:eastAsia="en-GB"/>
    </w:rPr>
  </w:style>
  <w:style w:type="character" w:customStyle="1" w:styleId="titles">
    <w:name w:val="titles"/>
    <w:basedOn w:val="DefaultParagraphFont"/>
    <w:rsid w:val="00F24516"/>
  </w:style>
  <w:style w:type="character" w:styleId="Hyperlink">
    <w:name w:val="Hyperlink"/>
    <w:basedOn w:val="DefaultParagraphFont"/>
    <w:rsid w:val="00D37AC2"/>
    <w:rPr>
      <w:rFonts w:ascii="Verdana" w:hAnsi="Verdana" w:hint="default"/>
      <w:strike w:val="0"/>
      <w:dstrike w:val="0"/>
      <w:color w:val="002992"/>
      <w:sz w:val="17"/>
      <w:szCs w:val="17"/>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Normal.dotm</Template>
  <TotalTime>523</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Toit, Jaco</dc:creator>
  <cp:keywords/>
  <dc:description/>
  <cp:lastModifiedBy>Stewart, Ian</cp:lastModifiedBy>
  <cp:revision>75</cp:revision>
  <dcterms:created xsi:type="dcterms:W3CDTF">2025-09-23T12:36:00Z</dcterms:created>
  <dcterms:modified xsi:type="dcterms:W3CDTF">2025-09-24T13:36:00Z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4c0feb5,5442629a,3c6441a7</vt:lpwstr>
  </property>
  <property fmtid="{D5CDD505-2E9C-101B-9397-08002B2CF9AE}" pid="3" name="ClassificationContentMarkingHeaderFontProps">
    <vt:lpwstr>#000000,10,Calibri</vt:lpwstr>
  </property>
  <property fmtid="{D5CDD505-2E9C-101B-9397-08002B2CF9AE}" pid="4" name="ClassificationContentMarkingHeaderText">
    <vt:lpwstr>DRAKEN PRIVATE</vt:lpwstr>
  </property>
  <property fmtid="{D5CDD505-2E9C-101B-9397-08002B2CF9AE}" pid="5" name="ClassificationContentMarkingFooterShapeIds">
    <vt:lpwstr>2d39dece,1252d988,19e57b41</vt:lpwstr>
  </property>
  <property fmtid="{D5CDD505-2E9C-101B-9397-08002B2CF9AE}" pid="6" name="ClassificationContentMarkingFooterFontProps">
    <vt:lpwstr>#000000,10,Calibri</vt:lpwstr>
  </property>
  <property fmtid="{D5CDD505-2E9C-101B-9397-08002B2CF9AE}" pid="7" name="ClassificationContentMarkingFooterText">
    <vt:lpwstr>DRAKEN PRIVATE</vt:lpwstr>
  </property>
</Properties>
</file>